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9975C0" w14:textId="4D087D15" w:rsidR="0088586D" w:rsidRPr="002B512D" w:rsidRDefault="0088586D" w:rsidP="0088586D">
      <w:pPr>
        <w:tabs>
          <w:tab w:val="center" w:pos="4153"/>
          <w:tab w:val="right" w:pos="9923"/>
        </w:tabs>
        <w:jc w:val="both"/>
        <w:rPr>
          <w:rFonts w:ascii="Arial" w:eastAsia="Malgun Gothic" w:hAnsi="Arial" w:cs="Arial"/>
          <w:b/>
          <w:bCs/>
          <w:sz w:val="28"/>
          <w:lang w:eastAsia="ko-KR"/>
        </w:rPr>
      </w:pPr>
      <w:bookmarkStart w:id="0" w:name="_Hlk491845607"/>
      <w:r w:rsidRPr="002B512D">
        <w:rPr>
          <w:rFonts w:ascii="Arial" w:eastAsia="Malgun Gothic" w:hAnsi="Arial" w:cs="Arial"/>
          <w:b/>
          <w:bCs/>
          <w:sz w:val="28"/>
          <w:lang w:eastAsia="zh-CN"/>
        </w:rPr>
        <w:t>3GPP TSG RAN WG4 Meeting #8</w:t>
      </w:r>
      <w:r w:rsidR="003F7277">
        <w:rPr>
          <w:rFonts w:ascii="Arial" w:eastAsia="Malgun Gothic" w:hAnsi="Arial" w:cs="Arial"/>
          <w:b/>
          <w:bCs/>
          <w:sz w:val="28"/>
          <w:lang w:eastAsia="ko-KR"/>
        </w:rPr>
        <w:t>8</w:t>
      </w:r>
      <w:r w:rsidRPr="002B512D">
        <w:rPr>
          <w:rFonts w:ascii="Arial" w:eastAsia="Malgun Gothic" w:hAnsi="Arial" w:cs="Arial" w:hint="eastAsia"/>
          <w:b/>
          <w:bCs/>
          <w:sz w:val="28"/>
          <w:lang w:eastAsia="ko-KR"/>
        </w:rPr>
        <w:tab/>
      </w:r>
      <w:r w:rsidRPr="002C3D37">
        <w:rPr>
          <w:rFonts w:ascii="Arial" w:eastAsia="Malgun Gothic" w:hAnsi="Arial" w:cs="Arial"/>
          <w:b/>
          <w:bCs/>
          <w:sz w:val="28"/>
          <w:lang w:eastAsia="ko-KR"/>
        </w:rPr>
        <w:t>R4-18014</w:t>
      </w:r>
      <w:r>
        <w:rPr>
          <w:rFonts w:ascii="Arial" w:eastAsia="Malgun Gothic" w:hAnsi="Arial" w:cs="Arial"/>
          <w:b/>
          <w:bCs/>
          <w:sz w:val="28"/>
          <w:lang w:eastAsia="ko-KR"/>
        </w:rPr>
        <w:t>2</w:t>
      </w:r>
      <w:r w:rsidR="00F8473D">
        <w:rPr>
          <w:rFonts w:ascii="Arial" w:eastAsia="Malgun Gothic" w:hAnsi="Arial" w:cs="Arial"/>
          <w:b/>
          <w:bCs/>
          <w:sz w:val="28"/>
          <w:lang w:eastAsia="ko-KR"/>
        </w:rPr>
        <w:t>7</w:t>
      </w:r>
    </w:p>
    <w:p w14:paraId="2246FF79" w14:textId="49A8D385" w:rsidR="0088586D" w:rsidRPr="002B512D" w:rsidRDefault="00A74760" w:rsidP="0088586D">
      <w:pPr>
        <w:pBdr>
          <w:bottom w:val="single" w:sz="6" w:space="1" w:color="auto"/>
        </w:pBdr>
        <w:tabs>
          <w:tab w:val="center" w:pos="4153"/>
          <w:tab w:val="right" w:pos="8306"/>
          <w:tab w:val="right" w:pos="9356"/>
        </w:tabs>
        <w:jc w:val="both"/>
        <w:rPr>
          <w:rFonts w:ascii="Arial" w:eastAsia="Malgun Gothic" w:hAnsi="Arial" w:cs="Arial"/>
          <w:b/>
          <w:bCs/>
          <w:sz w:val="28"/>
          <w:lang w:eastAsia="ko-KR"/>
        </w:rPr>
      </w:pPr>
      <w:r>
        <w:rPr>
          <w:rFonts w:ascii="Arial" w:eastAsia="MS Mincho" w:hAnsi="Arial" w:cs="Arial"/>
          <w:b/>
          <w:bCs/>
          <w:sz w:val="28"/>
          <w:lang w:eastAsia="ja-JP"/>
        </w:rPr>
        <w:t>Athens</w:t>
      </w:r>
      <w:r w:rsidR="0088586D" w:rsidRPr="003F7277">
        <w:rPr>
          <w:rFonts w:ascii="Arial" w:eastAsia="MS Mincho" w:hAnsi="Arial" w:cs="Arial"/>
          <w:b/>
          <w:bCs/>
          <w:sz w:val="28"/>
          <w:lang w:eastAsia="ja-JP"/>
        </w:rPr>
        <w:t>,</w:t>
      </w:r>
      <w:r w:rsidR="0088586D">
        <w:rPr>
          <w:rFonts w:ascii="Arial" w:eastAsia="MS Mincho" w:hAnsi="Arial" w:cs="Arial"/>
          <w:b/>
          <w:bCs/>
          <w:sz w:val="28"/>
          <w:lang w:eastAsia="ja-JP"/>
        </w:rPr>
        <w:t xml:space="preserve"> </w:t>
      </w:r>
      <w:r>
        <w:rPr>
          <w:rFonts w:ascii="Arial" w:eastAsia="MS Mincho" w:hAnsi="Arial" w:cs="Arial"/>
          <w:b/>
          <w:bCs/>
          <w:sz w:val="28"/>
          <w:lang w:eastAsia="ja-JP"/>
        </w:rPr>
        <w:t>Greece</w:t>
      </w:r>
      <w:r w:rsidR="0088586D">
        <w:rPr>
          <w:rFonts w:ascii="Arial" w:eastAsia="MS Mincho" w:hAnsi="Arial" w:cs="Arial"/>
          <w:b/>
          <w:bCs/>
          <w:sz w:val="28"/>
          <w:lang w:eastAsia="ja-JP"/>
        </w:rPr>
        <w:t xml:space="preserve">, </w:t>
      </w:r>
      <w:r>
        <w:rPr>
          <w:rFonts w:ascii="Arial" w:eastAsia="MS Mincho" w:hAnsi="Arial" w:cs="Arial"/>
          <w:b/>
          <w:bCs/>
          <w:sz w:val="28"/>
          <w:lang w:eastAsia="ja-JP"/>
        </w:rPr>
        <w:t>February</w:t>
      </w:r>
      <w:r w:rsidR="0088586D">
        <w:rPr>
          <w:rFonts w:ascii="Arial" w:eastAsia="MS Mincho" w:hAnsi="Arial" w:cs="Arial"/>
          <w:b/>
          <w:bCs/>
          <w:sz w:val="28"/>
          <w:lang w:eastAsia="ja-JP"/>
        </w:rPr>
        <w:t xml:space="preserve"> 2</w:t>
      </w:r>
      <w:r>
        <w:rPr>
          <w:rFonts w:ascii="Arial" w:eastAsia="MS Mincho" w:hAnsi="Arial" w:cs="Arial"/>
          <w:b/>
          <w:bCs/>
          <w:sz w:val="28"/>
          <w:lang w:eastAsia="ja-JP"/>
        </w:rPr>
        <w:t>5</w:t>
      </w:r>
      <w:r w:rsidR="0088586D" w:rsidRPr="004D56C7">
        <w:rPr>
          <w:rFonts w:ascii="Arial" w:eastAsia="MS Mincho" w:hAnsi="Arial" w:cs="Arial"/>
          <w:b/>
          <w:bCs/>
          <w:sz w:val="28"/>
          <w:vertAlign w:val="superscript"/>
          <w:lang w:eastAsia="ja-JP"/>
        </w:rPr>
        <w:t>th</w:t>
      </w:r>
      <w:r w:rsidR="0088586D">
        <w:rPr>
          <w:rFonts w:ascii="Arial" w:eastAsia="MS Mincho" w:hAnsi="Arial" w:cs="Arial"/>
          <w:b/>
          <w:bCs/>
          <w:sz w:val="28"/>
          <w:lang w:eastAsia="ja-JP"/>
        </w:rPr>
        <w:t xml:space="preserve"> – </w:t>
      </w:r>
      <w:r>
        <w:rPr>
          <w:rFonts w:ascii="Arial" w:eastAsia="MS Mincho" w:hAnsi="Arial" w:cs="Arial"/>
          <w:b/>
          <w:bCs/>
          <w:sz w:val="28"/>
          <w:lang w:eastAsia="ja-JP"/>
        </w:rPr>
        <w:t>March 1st</w:t>
      </w:r>
      <w:r w:rsidR="0088586D">
        <w:rPr>
          <w:rFonts w:ascii="Arial" w:eastAsia="MS Mincho" w:hAnsi="Arial" w:cs="Arial"/>
          <w:b/>
          <w:bCs/>
          <w:sz w:val="28"/>
          <w:lang w:eastAsia="ja-JP"/>
        </w:rPr>
        <w:t>, 201</w:t>
      </w:r>
      <w:r>
        <w:rPr>
          <w:rFonts w:ascii="Arial" w:eastAsia="MS Mincho" w:hAnsi="Arial" w:cs="Arial"/>
          <w:b/>
          <w:bCs/>
          <w:sz w:val="28"/>
          <w:lang w:eastAsia="ja-JP"/>
        </w:rPr>
        <w:t>9</w:t>
      </w:r>
    </w:p>
    <w:bookmarkEnd w:id="0"/>
    <w:p w14:paraId="2078F563" w14:textId="276DCDEB" w:rsidR="0043450E" w:rsidRPr="00B16EEF" w:rsidRDefault="0043450E" w:rsidP="0043450E">
      <w:pPr>
        <w:tabs>
          <w:tab w:val="left" w:pos="1985"/>
        </w:tabs>
        <w:jc w:val="both"/>
        <w:rPr>
          <w:b/>
        </w:rPr>
      </w:pPr>
      <w:r w:rsidRPr="00B16EEF">
        <w:rPr>
          <w:b/>
        </w:rPr>
        <w:t xml:space="preserve">Source: </w:t>
      </w:r>
      <w:r w:rsidRPr="00B16EEF">
        <w:rPr>
          <w:b/>
        </w:rPr>
        <w:tab/>
      </w:r>
      <w:r w:rsidR="00287409">
        <w:t>ETS-Lindgren</w:t>
      </w:r>
    </w:p>
    <w:p w14:paraId="5B6A96A7" w14:textId="4E28EB68" w:rsidR="0043450E" w:rsidRDefault="0043450E" w:rsidP="0043450E">
      <w:r w:rsidRPr="00B16EEF">
        <w:rPr>
          <w:b/>
        </w:rPr>
        <w:t>Title:</w:t>
      </w:r>
      <w:r w:rsidRPr="00B16EEF">
        <w:t xml:space="preserve"> </w:t>
      </w:r>
      <w:r w:rsidRPr="00B16EEF">
        <w:tab/>
      </w:r>
      <w:r>
        <w:tab/>
      </w:r>
      <w:r>
        <w:tab/>
      </w:r>
      <w:r>
        <w:tab/>
      </w:r>
      <w:r>
        <w:tab/>
      </w:r>
      <w:r w:rsidR="00A74760" w:rsidRPr="00A74760">
        <w:t>Comparison of short range vs. far field results for variable gain phased array</w:t>
      </w:r>
    </w:p>
    <w:p w14:paraId="23226DA5" w14:textId="7EB62F26" w:rsidR="0043450E" w:rsidRPr="0001487E" w:rsidRDefault="0043450E" w:rsidP="0043450E">
      <w:r w:rsidRPr="00B16EEF">
        <w:rPr>
          <w:b/>
        </w:rPr>
        <w:t>Agenda Item:</w:t>
      </w:r>
      <w:r>
        <w:rPr>
          <w:b/>
        </w:rPr>
        <w:t xml:space="preserve"> </w:t>
      </w:r>
      <w:r>
        <w:rPr>
          <w:b/>
        </w:rPr>
        <w:tab/>
      </w:r>
      <w:r>
        <w:rPr>
          <w:b/>
        </w:rPr>
        <w:tab/>
      </w:r>
      <w:r>
        <w:rPr>
          <w:b/>
        </w:rPr>
        <w:tab/>
      </w:r>
      <w:r w:rsidR="003F7277" w:rsidRPr="003F7277">
        <w:t>10.1.1</w:t>
      </w:r>
    </w:p>
    <w:p w14:paraId="7AD518C5" w14:textId="43E402C9" w:rsidR="0043450E" w:rsidRPr="00F26B60" w:rsidRDefault="0043450E" w:rsidP="0043450E">
      <w:pPr>
        <w:tabs>
          <w:tab w:val="left" w:pos="1985"/>
        </w:tabs>
        <w:jc w:val="both"/>
        <w:rPr>
          <w:caps/>
        </w:rPr>
      </w:pPr>
      <w:r w:rsidRPr="00B16EEF">
        <w:rPr>
          <w:b/>
        </w:rPr>
        <w:t>Document for:</w:t>
      </w:r>
      <w:r w:rsidRPr="00B16EEF">
        <w:tab/>
      </w:r>
      <w:r w:rsidR="00A74760">
        <w:t>Discussion</w:t>
      </w:r>
    </w:p>
    <w:p w14:paraId="5C2448DB" w14:textId="7D681C42" w:rsidR="0043450E" w:rsidRDefault="000E470F" w:rsidP="000E470F">
      <w:pPr>
        <w:pStyle w:val="Heading1"/>
        <w:ind w:left="0" w:firstLine="0"/>
      </w:pPr>
      <w:r>
        <w:t xml:space="preserve">1 </w:t>
      </w:r>
      <w:r>
        <w:tab/>
      </w:r>
      <w:r>
        <w:tab/>
      </w:r>
      <w:r w:rsidR="0043450E">
        <w:t>Introduction</w:t>
      </w:r>
    </w:p>
    <w:p w14:paraId="4BB9DFE9" w14:textId="1EC79761" w:rsidR="000E470F" w:rsidRDefault="00A74760" w:rsidP="000E470F">
      <w:r>
        <w:t xml:space="preserve">Traditional far-field measurement criteria have driven the </w:t>
      </w:r>
      <w:r w:rsidR="008A29F4">
        <w:t>TR towards DFF and IFF approaches to testing.  However, for some test cases, these approaches are not likely to be practical long term.  In addition, the associated measurement uncertainty contributions may not be any better than the uncertainty that would be associated with direct near field measurements.  To evaluate the impact of range length on measurement uncertainty, tests have been performed on an Anokiwave/Ball Aerospace model AWA-0134 256 element active antenna at 28 GHz.  This analog beam steering phased array supports four different ore-programmed beam shapes; minimum beamwidth (maximum gain), low (-25 dB) sidelobe, 30° beamwidth, and  6</w:t>
      </w:r>
      <w:r w:rsidR="008A29F4">
        <w:t>0° beamwidth</w:t>
      </w:r>
      <w:r w:rsidR="008A29F4">
        <w:t xml:space="preserve">.  </w:t>
      </w:r>
      <w:r w:rsidR="007F3965">
        <w:t xml:space="preserve">Tests were performed in a modified ETS-Lindgren AMS-8500 chamber traditionally used for sub 6 GHz OTA testing.  The array was installed on a standard multi-axis positioning system (MAPS) using a medium duty mast traditionally used for OTA testing with a phantom head and hand.  A dual polarized quad-ridge waveguide horn was used as the measurement antenna, mounted to a linear slide </w:t>
      </w:r>
      <w:r w:rsidR="004A5DCC">
        <w:t xml:space="preserve">that could adjust the range length by a delta of two meters.  </w:t>
      </w:r>
    </w:p>
    <w:p w14:paraId="6A07196F" w14:textId="77777777" w:rsidR="003E38E0" w:rsidRDefault="003E38E0" w:rsidP="000E470F"/>
    <w:p w14:paraId="1211A32A" w14:textId="77777777" w:rsidR="008711B2" w:rsidRDefault="008711B2" w:rsidP="008711B2">
      <w:pPr>
        <w:keepNext/>
        <w:jc w:val="center"/>
      </w:pPr>
      <w:r>
        <w:rPr>
          <w:noProof/>
        </w:rPr>
        <w:drawing>
          <wp:inline distT="0" distB="0" distL="0" distR="0" wp14:anchorId="422840FD" wp14:editId="7E31E0D7">
            <wp:extent cx="2924175" cy="352651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36749" cy="3541678"/>
                    </a:xfrm>
                    <a:prstGeom prst="rect">
                      <a:avLst/>
                    </a:prstGeom>
                  </pic:spPr>
                </pic:pic>
              </a:graphicData>
            </a:graphic>
          </wp:inline>
        </w:drawing>
      </w:r>
    </w:p>
    <w:p w14:paraId="55A14982" w14:textId="7E571E37" w:rsidR="008711B2" w:rsidRDefault="008711B2" w:rsidP="008711B2">
      <w:pPr>
        <w:pStyle w:val="Caption"/>
        <w:jc w:val="center"/>
      </w:pPr>
      <w:r>
        <w:t xml:space="preserve">Figure </w:t>
      </w:r>
      <w:r>
        <w:fldChar w:fldCharType="begin"/>
      </w:r>
      <w:r>
        <w:instrText xml:space="preserve"> SEQ Figure \* ARABIC </w:instrText>
      </w:r>
      <w:r>
        <w:fldChar w:fldCharType="separate"/>
      </w:r>
      <w:r w:rsidR="0019428B">
        <w:rPr>
          <w:noProof/>
        </w:rPr>
        <w:t>1</w:t>
      </w:r>
      <w:r>
        <w:fldChar w:fldCharType="end"/>
      </w:r>
      <w:r>
        <w:t>.  Anokiwave/Ball Aerospace AWA-0134 mounted on ETS-Lindgren Model 2015 MAPS positioner.</w:t>
      </w:r>
    </w:p>
    <w:p w14:paraId="289D3A60" w14:textId="7E6CD9F1" w:rsidR="008711B2" w:rsidRDefault="008711B2" w:rsidP="008711B2">
      <w:r>
        <w:t>Initial tests were performed for each beamwidth setting with a boresight (0, 0) pointing direction.  The range length to the center of rotation was 1.2825 m, with a distance to the antenna face of 1.325 m (it was not possible to get the antenna face directly on the center of rotation).  With a diagonal dimension, D, of ~0.14 m, then</w:t>
      </w:r>
      <w:r w:rsidR="00BD039B">
        <w:t xml:space="preserve"> at 28 GHz</w:t>
      </w:r>
      <w:r>
        <w:t xml:space="preserve"> the 2D</w:t>
      </w:r>
      <w:r w:rsidRPr="008711B2">
        <w:rPr>
          <w:vertAlign w:val="superscript"/>
        </w:rPr>
        <w:t>2</w:t>
      </w:r>
      <w:r>
        <w:t>/</w:t>
      </w:r>
      <w:r>
        <w:sym w:font="Symbol" w:char="F06C"/>
      </w:r>
      <w:r>
        <w:t xml:space="preserve"> far field distance </w:t>
      </w:r>
      <w:r w:rsidR="00BD039B">
        <w:t>would be</w:t>
      </w:r>
      <w:r w:rsidR="007A2947">
        <w:t xml:space="preserve"> 3.73</w:t>
      </w:r>
      <w:r w:rsidR="003D743A">
        <w:t xml:space="preserve"> </w:t>
      </w:r>
      <w:r w:rsidR="007A2947">
        <w:t xml:space="preserve">m.  </w:t>
      </w:r>
      <w:r w:rsidR="003D743A">
        <w:t xml:space="preserve">If we were to use the dimensions of the entire housing, the far field distance would be 17.1 m.  </w:t>
      </w:r>
    </w:p>
    <w:p w14:paraId="0B1DB5F8" w14:textId="77777777" w:rsidR="008711B2" w:rsidRPr="008711B2" w:rsidRDefault="008711B2" w:rsidP="008711B2"/>
    <w:p w14:paraId="3EBD832B" w14:textId="03BAB858" w:rsidR="008D1A48" w:rsidRDefault="000E470F" w:rsidP="000E470F">
      <w:pPr>
        <w:pStyle w:val="Heading1"/>
      </w:pPr>
      <w:r>
        <w:lastRenderedPageBreak/>
        <w:t>2</w:t>
      </w:r>
      <w:r>
        <w:tab/>
      </w:r>
      <w:r w:rsidR="008D1A48">
        <w:t>Discussion</w:t>
      </w:r>
    </w:p>
    <w:p w14:paraId="695FE456" w14:textId="236407B0" w:rsidR="003E38E0" w:rsidRDefault="003D743A" w:rsidP="003E38E0">
      <w:r>
        <w:fldChar w:fldCharType="begin"/>
      </w:r>
      <w:r>
        <w:instrText xml:space="preserve"> REF _Ref1139111 \h </w:instrText>
      </w:r>
      <w:r w:rsidR="003E38E0">
        <w:instrText xml:space="preserve"> \* MERGEFORMAT </w:instrText>
      </w:r>
      <w:r>
        <w:fldChar w:fldCharType="separate"/>
      </w:r>
      <w:r w:rsidR="0019428B">
        <w:t xml:space="preserve">Figure </w:t>
      </w:r>
      <w:r w:rsidR="0019428B">
        <w:rPr>
          <w:noProof/>
        </w:rPr>
        <w:t>2</w:t>
      </w:r>
      <w:r>
        <w:fldChar w:fldCharType="end"/>
      </w:r>
      <w:r>
        <w:t xml:space="preserve"> shows the spherical antenna pattern for the 60</w:t>
      </w:r>
      <w:r>
        <w:rPr>
          <w:rFonts w:ascii="Times New Roman" w:hAnsi="Times New Roman" w:cs="Times New Roman"/>
        </w:rPr>
        <w:t>°</w:t>
      </w:r>
      <w:r>
        <w:t xml:space="preserve"> beamwidth pattern, with (bottom) and without (top) far field conversion.  </w:t>
      </w:r>
      <w:r>
        <w:fldChar w:fldCharType="begin"/>
      </w:r>
      <w:r>
        <w:instrText xml:space="preserve"> REF _Ref1139117 \h </w:instrText>
      </w:r>
      <w:r w:rsidR="003E38E0">
        <w:instrText xml:space="preserve"> \* MERGEFORMAT </w:instrText>
      </w:r>
      <w:r>
        <w:fldChar w:fldCharType="separate"/>
      </w:r>
      <w:r w:rsidR="0019428B">
        <w:t xml:space="preserve">Figure </w:t>
      </w:r>
      <w:r w:rsidR="0019428B">
        <w:rPr>
          <w:noProof/>
        </w:rPr>
        <w:t>3</w:t>
      </w:r>
      <w:r>
        <w:fldChar w:fldCharType="end"/>
      </w:r>
      <w:r>
        <w:t xml:space="preserve"> overlays various theta cuts through those patterns for comparison.  In most cases, the variation between patterns is on the order of a dB or less on the significant lobes, even though the range length is a third of what it should be for a far field condition.</w:t>
      </w:r>
      <w:r w:rsidR="004E6F40">
        <w:t xml:space="preserve">  Note that the patterns are normalized, since differences in range length would require different path loss corrections anyway, so absolute values like gain are a function of the range calibration uncertainty.</w:t>
      </w:r>
    </w:p>
    <w:p w14:paraId="7EC4CA0A" w14:textId="77777777" w:rsidR="003E38E0" w:rsidRDefault="003E38E0" w:rsidP="003E38E0"/>
    <w:p w14:paraId="65EE67B0" w14:textId="6B9C61C6" w:rsidR="00122DB7" w:rsidRDefault="00122DB7" w:rsidP="003E38E0">
      <w:pPr>
        <w:jc w:val="center"/>
        <w:rPr>
          <w:noProof/>
        </w:rPr>
      </w:pPr>
      <w:r w:rsidRPr="00122DB7">
        <w:drawing>
          <wp:inline distT="0" distB="0" distL="0" distR="0" wp14:anchorId="418A3F74" wp14:editId="0CDB48FA">
            <wp:extent cx="5486400" cy="3440739"/>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86400" cy="3440739"/>
                    </a:xfrm>
                    <a:prstGeom prst="rect">
                      <a:avLst/>
                    </a:prstGeom>
                  </pic:spPr>
                </pic:pic>
              </a:graphicData>
            </a:graphic>
          </wp:inline>
        </w:drawing>
      </w:r>
    </w:p>
    <w:p w14:paraId="13FB1D6A" w14:textId="438644B7" w:rsidR="003D743A" w:rsidRDefault="00122DB7" w:rsidP="00A06D9C">
      <w:pPr>
        <w:keepNext/>
        <w:jc w:val="center"/>
      </w:pPr>
      <w:r w:rsidRPr="00122DB7">
        <w:drawing>
          <wp:inline distT="0" distB="0" distL="0" distR="0" wp14:anchorId="1106EC29" wp14:editId="2125D10F">
            <wp:extent cx="5486400" cy="3440739"/>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86400" cy="3440739"/>
                    </a:xfrm>
                    <a:prstGeom prst="rect">
                      <a:avLst/>
                    </a:prstGeom>
                  </pic:spPr>
                </pic:pic>
              </a:graphicData>
            </a:graphic>
          </wp:inline>
        </w:drawing>
      </w:r>
    </w:p>
    <w:p w14:paraId="0CA1F959" w14:textId="48E312B9" w:rsidR="003D743A" w:rsidRDefault="003D743A" w:rsidP="003D743A">
      <w:pPr>
        <w:pStyle w:val="Caption"/>
      </w:pPr>
      <w:bookmarkStart w:id="1" w:name="_Ref1139111"/>
      <w:r>
        <w:t xml:space="preserve">Figure </w:t>
      </w:r>
      <w:r>
        <w:fldChar w:fldCharType="begin"/>
      </w:r>
      <w:r>
        <w:instrText xml:space="preserve"> SEQ Figure \* ARABIC </w:instrText>
      </w:r>
      <w:r>
        <w:fldChar w:fldCharType="separate"/>
      </w:r>
      <w:r w:rsidR="0019428B">
        <w:rPr>
          <w:noProof/>
        </w:rPr>
        <w:t>2</w:t>
      </w:r>
      <w:r>
        <w:fldChar w:fldCharType="end"/>
      </w:r>
      <w:bookmarkEnd w:id="1"/>
      <w:r>
        <w:t>.  Comparison of the measured near field (top) and calculated far field (bottom) patterns for the 60° beamwidth setting.</w:t>
      </w:r>
    </w:p>
    <w:p w14:paraId="6B3FC1BD" w14:textId="77777777" w:rsidR="003D743A" w:rsidRDefault="003D743A" w:rsidP="003D743A"/>
    <w:p w14:paraId="4F001095" w14:textId="77777777" w:rsidR="003D743A" w:rsidRDefault="003D743A" w:rsidP="00F92455"/>
    <w:p w14:paraId="7728D135" w14:textId="0F32B91B" w:rsidR="00D503A8" w:rsidRDefault="00D503A8" w:rsidP="00F92455">
      <w:r w:rsidRPr="00D503A8">
        <w:rPr>
          <w:noProof/>
        </w:rPr>
        <w:drawing>
          <wp:inline distT="0" distB="0" distL="0" distR="0" wp14:anchorId="3279D5A8" wp14:editId="38C9B0F6">
            <wp:extent cx="2011680" cy="1226214"/>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D503A8">
        <w:rPr>
          <w:noProof/>
        </w:rPr>
        <w:drawing>
          <wp:inline distT="0" distB="0" distL="0" distR="0" wp14:anchorId="7AAC6A76" wp14:editId="38243EB2">
            <wp:extent cx="2011680" cy="1226214"/>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D503A8">
        <w:rPr>
          <w:noProof/>
        </w:rPr>
        <w:drawing>
          <wp:inline distT="0" distB="0" distL="0" distR="0" wp14:anchorId="3640F4B4" wp14:editId="6B963F35">
            <wp:extent cx="2011680" cy="122621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D503A8">
        <w:rPr>
          <w:noProof/>
        </w:rPr>
        <w:drawing>
          <wp:inline distT="0" distB="0" distL="0" distR="0" wp14:anchorId="24B28F21" wp14:editId="15C1A8BD">
            <wp:extent cx="2011680" cy="1226214"/>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D503A8">
        <w:rPr>
          <w:noProof/>
        </w:rPr>
        <w:drawing>
          <wp:inline distT="0" distB="0" distL="0" distR="0" wp14:anchorId="358C95C1" wp14:editId="18BF2168">
            <wp:extent cx="2011680" cy="122621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D503A8">
        <w:rPr>
          <w:noProof/>
        </w:rPr>
        <w:drawing>
          <wp:inline distT="0" distB="0" distL="0" distR="0" wp14:anchorId="6A5D4F43" wp14:editId="2E65880B">
            <wp:extent cx="2011680" cy="1226214"/>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p>
    <w:p w14:paraId="7D67ADE1" w14:textId="3D1F6BF1" w:rsidR="00D503A8" w:rsidRDefault="00D503A8" w:rsidP="004E6F40">
      <w:pPr>
        <w:keepNext/>
      </w:pPr>
      <w:r w:rsidRPr="00D503A8">
        <w:rPr>
          <w:noProof/>
        </w:rPr>
        <w:drawing>
          <wp:inline distT="0" distB="0" distL="0" distR="0" wp14:anchorId="02F5B605" wp14:editId="021D8073">
            <wp:extent cx="2011680" cy="1226214"/>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D503A8">
        <w:rPr>
          <w:noProof/>
        </w:rPr>
        <w:drawing>
          <wp:inline distT="0" distB="0" distL="0" distR="0" wp14:anchorId="0DC6AC56" wp14:editId="0D888699">
            <wp:extent cx="2011680" cy="1226214"/>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D503A8">
        <w:rPr>
          <w:noProof/>
        </w:rPr>
        <w:drawing>
          <wp:inline distT="0" distB="0" distL="0" distR="0" wp14:anchorId="36122864" wp14:editId="4C72D345">
            <wp:extent cx="2011680" cy="1226214"/>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D503A8">
        <w:rPr>
          <w:noProof/>
        </w:rPr>
        <w:drawing>
          <wp:inline distT="0" distB="0" distL="0" distR="0" wp14:anchorId="66C83121" wp14:editId="4F4E7030">
            <wp:extent cx="2011680" cy="1226214"/>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D503A8">
        <w:rPr>
          <w:noProof/>
        </w:rPr>
        <w:drawing>
          <wp:inline distT="0" distB="0" distL="0" distR="0" wp14:anchorId="3E2A10C8" wp14:editId="66405EF6">
            <wp:extent cx="2011680" cy="1226214"/>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D503A8">
        <w:rPr>
          <w:noProof/>
        </w:rPr>
        <w:drawing>
          <wp:inline distT="0" distB="0" distL="0" distR="0" wp14:anchorId="18E8CE2A" wp14:editId="429DDC76">
            <wp:extent cx="2011680" cy="1226214"/>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p>
    <w:p w14:paraId="79474D7E" w14:textId="1D228EA7" w:rsidR="003D743A" w:rsidRDefault="003D743A" w:rsidP="003D743A">
      <w:pPr>
        <w:pStyle w:val="Caption"/>
        <w:jc w:val="center"/>
      </w:pPr>
      <w:bookmarkStart w:id="2" w:name="_Ref1139117"/>
      <w:r>
        <w:t xml:space="preserve">Figure </w:t>
      </w:r>
      <w:r>
        <w:fldChar w:fldCharType="begin"/>
      </w:r>
      <w:r>
        <w:instrText xml:space="preserve"> SEQ Figure \* ARABIC </w:instrText>
      </w:r>
      <w:r>
        <w:fldChar w:fldCharType="separate"/>
      </w:r>
      <w:r w:rsidR="0019428B">
        <w:rPr>
          <w:noProof/>
        </w:rPr>
        <w:t>3</w:t>
      </w:r>
      <w:r>
        <w:fldChar w:fldCharType="end"/>
      </w:r>
      <w:bookmarkEnd w:id="2"/>
      <w:r>
        <w:t>.  Comparison of various theta cuts through the 60° beamwidth pattern at different phi angles.</w:t>
      </w:r>
    </w:p>
    <w:p w14:paraId="05BD0B29" w14:textId="760527CD" w:rsidR="003E38E0" w:rsidRDefault="00533CF7" w:rsidP="00E62555">
      <w:r>
        <w:t xml:space="preserve"> </w:t>
      </w:r>
      <w:r w:rsidR="00B52223">
        <w:t xml:space="preserve">   </w:t>
      </w:r>
    </w:p>
    <w:p w14:paraId="3ED4E10E" w14:textId="546B1847" w:rsidR="003E38E0" w:rsidRDefault="003E38E0"/>
    <w:p w14:paraId="708E6E76" w14:textId="77777777" w:rsidR="0019428B" w:rsidRDefault="0019428B">
      <w:r>
        <w:br w:type="page"/>
      </w:r>
    </w:p>
    <w:p w14:paraId="365353B2" w14:textId="0D913974" w:rsidR="0019428B" w:rsidRDefault="0019428B" w:rsidP="0019428B">
      <w:r>
        <w:lastRenderedPageBreak/>
        <w:t xml:space="preserve">Similarly, </w:t>
      </w:r>
      <w:r>
        <w:fldChar w:fldCharType="begin"/>
      </w:r>
      <w:r>
        <w:instrText xml:space="preserve"> REF _Ref1143203 \h </w:instrText>
      </w:r>
      <w:r>
        <w:fldChar w:fldCharType="separate"/>
      </w:r>
      <w:r>
        <w:t xml:space="preserve">Figure </w:t>
      </w:r>
      <w:r>
        <w:rPr>
          <w:noProof/>
        </w:rPr>
        <w:t>4</w:t>
      </w:r>
      <w:r>
        <w:fldChar w:fldCharType="end"/>
      </w:r>
      <w:r>
        <w:t xml:space="preserve"> shows the spherical antenna pattern for the 30</w:t>
      </w:r>
      <w:r>
        <w:rPr>
          <w:rFonts w:ascii="Times New Roman" w:hAnsi="Times New Roman" w:cs="Times New Roman"/>
        </w:rPr>
        <w:t>°</w:t>
      </w:r>
      <w:r>
        <w:t xml:space="preserve"> beamwidth pattern, with (bottom) and without (top) far field conversion.  </w:t>
      </w:r>
      <w:r>
        <w:fldChar w:fldCharType="begin"/>
      </w:r>
      <w:r>
        <w:instrText xml:space="preserve"> REF _Ref1143227 \h </w:instrText>
      </w:r>
      <w:r>
        <w:fldChar w:fldCharType="separate"/>
      </w:r>
      <w:r>
        <w:t xml:space="preserve">Figure </w:t>
      </w:r>
      <w:r>
        <w:rPr>
          <w:noProof/>
        </w:rPr>
        <w:t>5</w:t>
      </w:r>
      <w:r>
        <w:fldChar w:fldCharType="end"/>
      </w:r>
      <w:r>
        <w:t xml:space="preserve"> overlays various theta cuts through those patterns for comparison.  A larger delta is evident in some cuts for the first side lobes that are forming the main 30</w:t>
      </w:r>
      <w:r>
        <w:rPr>
          <w:rFonts w:ascii="Times New Roman" w:hAnsi="Times New Roman" w:cs="Times New Roman"/>
        </w:rPr>
        <w:t xml:space="preserve">° </w:t>
      </w:r>
      <w:r>
        <w:t xml:space="preserve">beam.  Since the patterns are normalized to the peak, this exaggerates the delta of those sidelobes.  The overall difference can be better estimated from the directivity deltas shown later.   </w:t>
      </w:r>
    </w:p>
    <w:p w14:paraId="65DA67AF" w14:textId="4FE1330B" w:rsidR="003D743A" w:rsidRDefault="003E38E0" w:rsidP="003E38E0">
      <w:pPr>
        <w:jc w:val="center"/>
      </w:pPr>
      <w:r w:rsidRPr="003E38E0">
        <w:drawing>
          <wp:inline distT="0" distB="0" distL="0" distR="0" wp14:anchorId="5AD7FA1A" wp14:editId="56631509">
            <wp:extent cx="5486400" cy="3440739"/>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86400" cy="3440739"/>
                    </a:xfrm>
                    <a:prstGeom prst="rect">
                      <a:avLst/>
                    </a:prstGeom>
                  </pic:spPr>
                </pic:pic>
              </a:graphicData>
            </a:graphic>
          </wp:inline>
        </w:drawing>
      </w:r>
    </w:p>
    <w:p w14:paraId="0D701A05" w14:textId="556C690A" w:rsidR="003E38E0" w:rsidRDefault="003E38E0" w:rsidP="003E38E0">
      <w:pPr>
        <w:jc w:val="center"/>
      </w:pPr>
      <w:r w:rsidRPr="003E38E0">
        <w:drawing>
          <wp:inline distT="0" distB="0" distL="0" distR="0" wp14:anchorId="3B068464" wp14:editId="7CD702C3">
            <wp:extent cx="5486400" cy="34299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86400" cy="3429925"/>
                    </a:xfrm>
                    <a:prstGeom prst="rect">
                      <a:avLst/>
                    </a:prstGeom>
                  </pic:spPr>
                </pic:pic>
              </a:graphicData>
            </a:graphic>
          </wp:inline>
        </w:drawing>
      </w:r>
    </w:p>
    <w:p w14:paraId="37EC32DF" w14:textId="4CC172A0" w:rsidR="003E38E0" w:rsidRDefault="003E38E0" w:rsidP="003E38E0">
      <w:pPr>
        <w:pStyle w:val="Caption"/>
      </w:pPr>
      <w:bookmarkStart w:id="3" w:name="_Ref1143203"/>
      <w:r>
        <w:t xml:space="preserve">Figure </w:t>
      </w:r>
      <w:r>
        <w:fldChar w:fldCharType="begin"/>
      </w:r>
      <w:r>
        <w:instrText xml:space="preserve"> SEQ Figure \* ARABIC </w:instrText>
      </w:r>
      <w:r>
        <w:fldChar w:fldCharType="separate"/>
      </w:r>
      <w:r w:rsidR="0019428B">
        <w:rPr>
          <w:noProof/>
        </w:rPr>
        <w:t>4</w:t>
      </w:r>
      <w:r>
        <w:fldChar w:fldCharType="end"/>
      </w:r>
      <w:bookmarkEnd w:id="3"/>
      <w:r>
        <w:t>.  Comparison of the measured near field (top) and calculated far field (bottom</w:t>
      </w:r>
      <w:r>
        <w:t>) patterns for the 3</w:t>
      </w:r>
      <w:r>
        <w:t>0° beamwidth setting.</w:t>
      </w:r>
    </w:p>
    <w:p w14:paraId="3AA31F14" w14:textId="28F5F919" w:rsidR="003E38E0" w:rsidRDefault="003E38E0" w:rsidP="00E62555">
      <w:r w:rsidRPr="003E38E0">
        <w:rPr>
          <w:noProof/>
        </w:rPr>
        <w:lastRenderedPageBreak/>
        <w:drawing>
          <wp:inline distT="0" distB="0" distL="0" distR="0" wp14:anchorId="325CDEE2" wp14:editId="57EAB095">
            <wp:extent cx="2011680" cy="1225621"/>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1680" cy="1225621"/>
                    </a:xfrm>
                    <a:prstGeom prst="rect">
                      <a:avLst/>
                    </a:prstGeom>
                    <a:noFill/>
                    <a:ln>
                      <a:noFill/>
                    </a:ln>
                  </pic:spPr>
                </pic:pic>
              </a:graphicData>
            </a:graphic>
          </wp:inline>
        </w:drawing>
      </w:r>
      <w:r w:rsidRPr="003E38E0">
        <w:t xml:space="preserve"> </w:t>
      </w:r>
      <w:r w:rsidRPr="003E38E0">
        <w:rPr>
          <w:noProof/>
        </w:rPr>
        <w:drawing>
          <wp:inline distT="0" distB="0" distL="0" distR="0" wp14:anchorId="39195FFA" wp14:editId="4A851FA9">
            <wp:extent cx="2011680" cy="1225621"/>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11680" cy="1225621"/>
                    </a:xfrm>
                    <a:prstGeom prst="rect">
                      <a:avLst/>
                    </a:prstGeom>
                    <a:noFill/>
                    <a:ln>
                      <a:noFill/>
                    </a:ln>
                  </pic:spPr>
                </pic:pic>
              </a:graphicData>
            </a:graphic>
          </wp:inline>
        </w:drawing>
      </w:r>
      <w:r w:rsidRPr="003E38E0">
        <w:rPr>
          <w:noProof/>
        </w:rPr>
        <w:drawing>
          <wp:inline distT="0" distB="0" distL="0" distR="0" wp14:anchorId="717E21F2" wp14:editId="4A85DC6F">
            <wp:extent cx="2011680" cy="1226214"/>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3E38E0">
        <w:t xml:space="preserve"> </w:t>
      </w:r>
      <w:r w:rsidRPr="003E38E0">
        <w:rPr>
          <w:noProof/>
        </w:rPr>
        <w:drawing>
          <wp:inline distT="0" distB="0" distL="0" distR="0" wp14:anchorId="5B3E426B" wp14:editId="631104D4">
            <wp:extent cx="2011680" cy="1226214"/>
            <wp:effectExtent l="0" t="0" r="762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3E38E0">
        <w:t xml:space="preserve"> </w:t>
      </w:r>
      <w:r w:rsidRPr="003E38E0">
        <w:rPr>
          <w:noProof/>
        </w:rPr>
        <w:drawing>
          <wp:inline distT="0" distB="0" distL="0" distR="0" wp14:anchorId="18A7D2B2" wp14:editId="367957DA">
            <wp:extent cx="2011680" cy="1226214"/>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3E38E0">
        <w:rPr>
          <w:noProof/>
        </w:rPr>
        <w:drawing>
          <wp:inline distT="0" distB="0" distL="0" distR="0" wp14:anchorId="6CFADE07" wp14:editId="03353BE4">
            <wp:extent cx="2011680" cy="1226214"/>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3E38E0">
        <w:t xml:space="preserve"> </w:t>
      </w:r>
      <w:r w:rsidRPr="003E38E0">
        <w:rPr>
          <w:noProof/>
        </w:rPr>
        <w:drawing>
          <wp:inline distT="0" distB="0" distL="0" distR="0" wp14:anchorId="61E85023" wp14:editId="4B7CA19F">
            <wp:extent cx="2011680" cy="1226214"/>
            <wp:effectExtent l="0" t="0" r="762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3E38E0">
        <w:t xml:space="preserve"> </w:t>
      </w:r>
      <w:r w:rsidRPr="003E38E0">
        <w:rPr>
          <w:noProof/>
        </w:rPr>
        <w:drawing>
          <wp:inline distT="0" distB="0" distL="0" distR="0" wp14:anchorId="35B9FF2C" wp14:editId="2C05137C">
            <wp:extent cx="2011680" cy="1226214"/>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3E38E0">
        <w:rPr>
          <w:noProof/>
        </w:rPr>
        <w:drawing>
          <wp:inline distT="0" distB="0" distL="0" distR="0" wp14:anchorId="65F8B778" wp14:editId="7EF2CE7C">
            <wp:extent cx="2011680" cy="1226214"/>
            <wp:effectExtent l="0" t="0" r="762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3E38E0">
        <w:t xml:space="preserve"> </w:t>
      </w:r>
      <w:r w:rsidRPr="003E38E0">
        <w:rPr>
          <w:noProof/>
        </w:rPr>
        <w:drawing>
          <wp:inline distT="0" distB="0" distL="0" distR="0" wp14:anchorId="06900528" wp14:editId="639C7DE7">
            <wp:extent cx="2011680" cy="1226214"/>
            <wp:effectExtent l="0" t="0" r="762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3E38E0">
        <w:t xml:space="preserve"> </w:t>
      </w:r>
      <w:r w:rsidRPr="003E38E0">
        <w:rPr>
          <w:noProof/>
        </w:rPr>
        <w:drawing>
          <wp:inline distT="0" distB="0" distL="0" distR="0" wp14:anchorId="3904916D" wp14:editId="1CDE51A4">
            <wp:extent cx="2011680" cy="1226214"/>
            <wp:effectExtent l="0" t="0" r="762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r w:rsidRPr="003E38E0">
        <w:rPr>
          <w:noProof/>
        </w:rPr>
        <w:drawing>
          <wp:inline distT="0" distB="0" distL="0" distR="0" wp14:anchorId="007A5CCF" wp14:editId="03FA6DB4">
            <wp:extent cx="2011680" cy="1226214"/>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11680" cy="1226214"/>
                    </a:xfrm>
                    <a:prstGeom prst="rect">
                      <a:avLst/>
                    </a:prstGeom>
                    <a:noFill/>
                    <a:ln>
                      <a:noFill/>
                    </a:ln>
                  </pic:spPr>
                </pic:pic>
              </a:graphicData>
            </a:graphic>
          </wp:inline>
        </w:drawing>
      </w:r>
    </w:p>
    <w:p w14:paraId="74CAA724" w14:textId="726514B1" w:rsidR="003E38E0" w:rsidRDefault="003E38E0" w:rsidP="003E38E0">
      <w:pPr>
        <w:pStyle w:val="Caption"/>
        <w:jc w:val="center"/>
      </w:pPr>
      <w:bookmarkStart w:id="4" w:name="_Ref1143227"/>
      <w:r>
        <w:t xml:space="preserve">Figure </w:t>
      </w:r>
      <w:r>
        <w:fldChar w:fldCharType="begin"/>
      </w:r>
      <w:r>
        <w:instrText xml:space="preserve"> SEQ Figure \* ARABIC </w:instrText>
      </w:r>
      <w:r>
        <w:fldChar w:fldCharType="separate"/>
      </w:r>
      <w:r w:rsidR="0019428B">
        <w:rPr>
          <w:noProof/>
        </w:rPr>
        <w:t>5</w:t>
      </w:r>
      <w:r>
        <w:fldChar w:fldCharType="end"/>
      </w:r>
      <w:bookmarkEnd w:id="4"/>
      <w:r>
        <w:t>.  Comparison of various theta cuts through the</w:t>
      </w:r>
      <w:r>
        <w:t xml:space="preserve"> 3</w:t>
      </w:r>
      <w:r>
        <w:t>0° beamwidth pattern at different phi angles.</w:t>
      </w:r>
    </w:p>
    <w:p w14:paraId="1D7B0DBC" w14:textId="77777777" w:rsidR="003E38E0" w:rsidRDefault="003E38E0" w:rsidP="003E38E0">
      <w:r>
        <w:t xml:space="preserve">    </w:t>
      </w:r>
    </w:p>
    <w:p w14:paraId="7F61ECCD" w14:textId="77777777" w:rsidR="003E38E0" w:rsidRDefault="003E38E0" w:rsidP="00E62555"/>
    <w:p w14:paraId="6B12D286" w14:textId="77777777" w:rsidR="0019428B" w:rsidRDefault="0019428B">
      <w:r>
        <w:br w:type="page"/>
      </w:r>
    </w:p>
    <w:p w14:paraId="387E4B2E" w14:textId="3A93ED44" w:rsidR="0019428B" w:rsidRDefault="0019428B" w:rsidP="0019428B">
      <w:r>
        <w:lastRenderedPageBreak/>
        <w:fldChar w:fldCharType="begin"/>
      </w:r>
      <w:r>
        <w:instrText xml:space="preserve"> REF _Ref1143412 \h </w:instrText>
      </w:r>
      <w:r>
        <w:fldChar w:fldCharType="separate"/>
      </w:r>
      <w:r>
        <w:t xml:space="preserve">Figure </w:t>
      </w:r>
      <w:r>
        <w:rPr>
          <w:noProof/>
        </w:rPr>
        <w:t>6</w:t>
      </w:r>
      <w:r>
        <w:fldChar w:fldCharType="end"/>
      </w:r>
      <w:r>
        <w:t xml:space="preserve"> and </w:t>
      </w:r>
      <w:r>
        <w:fldChar w:fldCharType="begin"/>
      </w:r>
      <w:r>
        <w:instrText xml:space="preserve"> REF _Ref1143427 \h </w:instrText>
      </w:r>
      <w:r>
        <w:fldChar w:fldCharType="separate"/>
      </w:r>
      <w:r>
        <w:t xml:space="preserve">Figure </w:t>
      </w:r>
      <w:r>
        <w:rPr>
          <w:noProof/>
        </w:rPr>
        <w:t>7</w:t>
      </w:r>
      <w:r>
        <w:fldChar w:fldCharType="end"/>
      </w:r>
      <w:r>
        <w:t xml:space="preserve"> illustrate the same spherical patterns and cuts for the low sidelobe setting.  A slight difference in the initial width of the main lobe is visible, but all sidelobes show up at similar low levels.</w:t>
      </w:r>
    </w:p>
    <w:p w14:paraId="02C28406" w14:textId="77777777" w:rsidR="0019428B" w:rsidRDefault="0019428B" w:rsidP="0019428B"/>
    <w:p w14:paraId="599FE0E3" w14:textId="056CFF63" w:rsidR="003D743A" w:rsidRDefault="00122DB7" w:rsidP="00E62555">
      <w:r w:rsidRPr="00122DB7">
        <w:drawing>
          <wp:inline distT="0" distB="0" distL="0" distR="0" wp14:anchorId="418E3296" wp14:editId="576D0A5C">
            <wp:extent cx="6120765" cy="3835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3835400"/>
                    </a:xfrm>
                    <a:prstGeom prst="rect">
                      <a:avLst/>
                    </a:prstGeom>
                  </pic:spPr>
                </pic:pic>
              </a:graphicData>
            </a:graphic>
          </wp:inline>
        </w:drawing>
      </w:r>
      <w:r w:rsidRPr="00122DB7">
        <w:drawing>
          <wp:inline distT="0" distB="0" distL="0" distR="0" wp14:anchorId="4B3A4EB8" wp14:editId="643CA8D1">
            <wp:extent cx="6120765" cy="3835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3835400"/>
                    </a:xfrm>
                    <a:prstGeom prst="rect">
                      <a:avLst/>
                    </a:prstGeom>
                  </pic:spPr>
                </pic:pic>
              </a:graphicData>
            </a:graphic>
          </wp:inline>
        </w:drawing>
      </w:r>
    </w:p>
    <w:p w14:paraId="7D6EB5C6" w14:textId="7A6B5B38" w:rsidR="00122DB7" w:rsidRDefault="00122DB7" w:rsidP="00122DB7">
      <w:pPr>
        <w:pStyle w:val="Caption"/>
      </w:pPr>
      <w:bookmarkStart w:id="5" w:name="_Ref1143412"/>
      <w:r>
        <w:t xml:space="preserve">Figure </w:t>
      </w:r>
      <w:r>
        <w:fldChar w:fldCharType="begin"/>
      </w:r>
      <w:r>
        <w:instrText xml:space="preserve"> SEQ Figure \* ARABIC </w:instrText>
      </w:r>
      <w:r>
        <w:fldChar w:fldCharType="separate"/>
      </w:r>
      <w:r w:rsidR="0019428B">
        <w:rPr>
          <w:noProof/>
        </w:rPr>
        <w:t>6</w:t>
      </w:r>
      <w:r>
        <w:fldChar w:fldCharType="end"/>
      </w:r>
      <w:bookmarkEnd w:id="5"/>
      <w:r>
        <w:t xml:space="preserve">.  Comparison of the measured near field (top) and calculated far field (bottom) patterns for the </w:t>
      </w:r>
      <w:r>
        <w:t>low sidelobe</w:t>
      </w:r>
      <w:r>
        <w:t xml:space="preserve"> setting.</w:t>
      </w:r>
    </w:p>
    <w:p w14:paraId="26D00E61" w14:textId="0DBCBA14" w:rsidR="00DF2DB9" w:rsidRDefault="00DF2DB9" w:rsidP="00E62555">
      <w:r w:rsidRPr="00DF2DB9">
        <w:rPr>
          <w:noProof/>
        </w:rPr>
        <w:lastRenderedPageBreak/>
        <w:drawing>
          <wp:inline distT="0" distB="0" distL="0" distR="0" wp14:anchorId="258AF150" wp14:editId="5FC2FE6E">
            <wp:extent cx="2011680" cy="1225193"/>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r w:rsidRPr="00DF2DB9">
        <w:rPr>
          <w:noProof/>
        </w:rPr>
        <w:drawing>
          <wp:inline distT="0" distB="0" distL="0" distR="0" wp14:anchorId="4815FA86" wp14:editId="056FF523">
            <wp:extent cx="2011680" cy="1225193"/>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r w:rsidRPr="00DF2DB9">
        <w:rPr>
          <w:noProof/>
        </w:rPr>
        <w:drawing>
          <wp:inline distT="0" distB="0" distL="0" distR="0" wp14:anchorId="04D6E9C7" wp14:editId="7B966ECA">
            <wp:extent cx="2011680" cy="1225193"/>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p>
    <w:p w14:paraId="548096A1" w14:textId="3A832BB1" w:rsidR="00122DB7" w:rsidRDefault="00DF2DB9" w:rsidP="00E62555">
      <w:r w:rsidRPr="00DF2DB9">
        <w:rPr>
          <w:noProof/>
        </w:rPr>
        <w:drawing>
          <wp:inline distT="0" distB="0" distL="0" distR="0" wp14:anchorId="7C80E344" wp14:editId="3C4A3CF8">
            <wp:extent cx="2011680" cy="1225193"/>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r w:rsidRPr="00DF2DB9">
        <w:t xml:space="preserve"> </w:t>
      </w:r>
      <w:r w:rsidRPr="00DF2DB9">
        <w:rPr>
          <w:noProof/>
        </w:rPr>
        <w:drawing>
          <wp:inline distT="0" distB="0" distL="0" distR="0" wp14:anchorId="3D7A5EE9" wp14:editId="6EB53906">
            <wp:extent cx="2011680" cy="1225621"/>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11680" cy="1225621"/>
                    </a:xfrm>
                    <a:prstGeom prst="rect">
                      <a:avLst/>
                    </a:prstGeom>
                    <a:noFill/>
                    <a:ln>
                      <a:noFill/>
                    </a:ln>
                  </pic:spPr>
                </pic:pic>
              </a:graphicData>
            </a:graphic>
          </wp:inline>
        </w:drawing>
      </w:r>
      <w:r w:rsidRPr="00DF2DB9">
        <w:rPr>
          <w:noProof/>
        </w:rPr>
        <w:drawing>
          <wp:inline distT="0" distB="0" distL="0" distR="0" wp14:anchorId="36D7BF33" wp14:editId="10BEEA18">
            <wp:extent cx="2011680" cy="1225193"/>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r w:rsidRPr="00DF2DB9">
        <w:t xml:space="preserve"> </w:t>
      </w:r>
      <w:r w:rsidRPr="00DF2DB9">
        <w:rPr>
          <w:noProof/>
        </w:rPr>
        <w:drawing>
          <wp:inline distT="0" distB="0" distL="0" distR="0" wp14:anchorId="53DF9D16" wp14:editId="229804E5">
            <wp:extent cx="2011680" cy="1225193"/>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r w:rsidRPr="00DF2DB9">
        <w:t xml:space="preserve"> </w:t>
      </w:r>
      <w:r w:rsidRPr="00DF2DB9">
        <w:rPr>
          <w:noProof/>
        </w:rPr>
        <w:drawing>
          <wp:inline distT="0" distB="0" distL="0" distR="0" wp14:anchorId="42D8FACD" wp14:editId="16DB7142">
            <wp:extent cx="2011680" cy="1225193"/>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r w:rsidRPr="00DF2DB9">
        <w:rPr>
          <w:noProof/>
        </w:rPr>
        <w:drawing>
          <wp:inline distT="0" distB="0" distL="0" distR="0" wp14:anchorId="49823AED" wp14:editId="1C02A7C7">
            <wp:extent cx="2011680" cy="1225193"/>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r w:rsidRPr="00DF2DB9">
        <w:rPr>
          <w:noProof/>
        </w:rPr>
        <w:drawing>
          <wp:inline distT="0" distB="0" distL="0" distR="0" wp14:anchorId="03749C06" wp14:editId="4C72D335">
            <wp:extent cx="2011680" cy="1225193"/>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r w:rsidRPr="00DF2DB9">
        <w:t xml:space="preserve"> </w:t>
      </w:r>
      <w:r w:rsidRPr="00DF2DB9">
        <w:rPr>
          <w:noProof/>
        </w:rPr>
        <w:drawing>
          <wp:inline distT="0" distB="0" distL="0" distR="0" wp14:anchorId="0D09D6AA" wp14:editId="02BE3409">
            <wp:extent cx="2011680" cy="1225193"/>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r w:rsidRPr="00DF2DB9">
        <w:rPr>
          <w:noProof/>
        </w:rPr>
        <w:drawing>
          <wp:inline distT="0" distB="0" distL="0" distR="0" wp14:anchorId="72956FE0" wp14:editId="1D1DACD1">
            <wp:extent cx="2011680" cy="1225193"/>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11680" cy="1225193"/>
                    </a:xfrm>
                    <a:prstGeom prst="rect">
                      <a:avLst/>
                    </a:prstGeom>
                    <a:noFill/>
                    <a:ln>
                      <a:noFill/>
                    </a:ln>
                  </pic:spPr>
                </pic:pic>
              </a:graphicData>
            </a:graphic>
          </wp:inline>
        </w:drawing>
      </w:r>
    </w:p>
    <w:p w14:paraId="7E84AF77" w14:textId="04101CBD" w:rsidR="00DF2DB9" w:rsidRDefault="00DF2DB9" w:rsidP="00DF2DB9">
      <w:pPr>
        <w:pStyle w:val="Caption"/>
        <w:jc w:val="center"/>
      </w:pPr>
      <w:bookmarkStart w:id="6" w:name="_Ref1143427"/>
      <w:r>
        <w:t xml:space="preserve">Figure </w:t>
      </w:r>
      <w:r>
        <w:fldChar w:fldCharType="begin"/>
      </w:r>
      <w:r>
        <w:instrText xml:space="preserve"> SEQ Figure \* ARABIC </w:instrText>
      </w:r>
      <w:r>
        <w:fldChar w:fldCharType="separate"/>
      </w:r>
      <w:r w:rsidR="0019428B">
        <w:rPr>
          <w:noProof/>
        </w:rPr>
        <w:t>7</w:t>
      </w:r>
      <w:r>
        <w:fldChar w:fldCharType="end"/>
      </w:r>
      <w:bookmarkEnd w:id="6"/>
      <w:r>
        <w:t xml:space="preserve">.  Comparison of various theta cuts through the </w:t>
      </w:r>
      <w:r>
        <w:t>low sidelobe</w:t>
      </w:r>
      <w:r>
        <w:t xml:space="preserve"> pattern at different phi angles.</w:t>
      </w:r>
    </w:p>
    <w:p w14:paraId="5EFD1851" w14:textId="23309DBB" w:rsidR="0019428B" w:rsidRDefault="0019428B">
      <w:r>
        <w:br w:type="page"/>
      </w:r>
    </w:p>
    <w:p w14:paraId="4C1C9790" w14:textId="50FE5B43" w:rsidR="0019428B" w:rsidRDefault="0019428B" w:rsidP="0019428B">
      <w:r>
        <w:lastRenderedPageBreak/>
        <w:fldChar w:fldCharType="begin"/>
      </w:r>
      <w:r>
        <w:instrText xml:space="preserve"> REF _Ref1143802 \h </w:instrText>
      </w:r>
      <w:r>
        <w:fldChar w:fldCharType="separate"/>
      </w:r>
      <w:r>
        <w:t xml:space="preserve">Figure </w:t>
      </w:r>
      <w:r>
        <w:rPr>
          <w:noProof/>
        </w:rPr>
        <w:t>8</w:t>
      </w:r>
      <w:r>
        <w:fldChar w:fldCharType="end"/>
      </w:r>
      <w:r>
        <w:t xml:space="preserve"> compares the near and far field results for the narrowest beamwidth setting.  The impact on the side lobes is quite apparent in this case, so comparison on the cuts is not really necessary.  Note however that this pattern was measured under slightly different conditions than the previous, so further investigation is necessary to make a final conclusion here.  However, it is not surprising that once the array is used to its maximum potential gain, that range length limitations should start to become more significant.</w:t>
      </w:r>
    </w:p>
    <w:p w14:paraId="03EE0592" w14:textId="77777777" w:rsidR="0019428B" w:rsidRDefault="0019428B" w:rsidP="0019428B"/>
    <w:p w14:paraId="1B1FC1F6" w14:textId="63FF16DA" w:rsidR="00122DB7" w:rsidRDefault="0019428B" w:rsidP="0019428B">
      <w:pPr>
        <w:jc w:val="center"/>
      </w:pPr>
      <w:r w:rsidRPr="0019428B">
        <w:drawing>
          <wp:inline distT="0" distB="0" distL="0" distR="0" wp14:anchorId="54D38100" wp14:editId="60FB6142">
            <wp:extent cx="5486400" cy="343846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86400" cy="3438463"/>
                    </a:xfrm>
                    <a:prstGeom prst="rect">
                      <a:avLst/>
                    </a:prstGeom>
                  </pic:spPr>
                </pic:pic>
              </a:graphicData>
            </a:graphic>
          </wp:inline>
        </w:drawing>
      </w:r>
    </w:p>
    <w:p w14:paraId="36E9662F" w14:textId="1E1A05CD" w:rsidR="0019428B" w:rsidRDefault="0019428B" w:rsidP="0019428B">
      <w:pPr>
        <w:jc w:val="center"/>
      </w:pPr>
      <w:r w:rsidRPr="0019428B">
        <w:drawing>
          <wp:inline distT="0" distB="0" distL="0" distR="0" wp14:anchorId="3DEBFEE6" wp14:editId="6FBD9B79">
            <wp:extent cx="5486400" cy="343846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86400" cy="3438463"/>
                    </a:xfrm>
                    <a:prstGeom prst="rect">
                      <a:avLst/>
                    </a:prstGeom>
                  </pic:spPr>
                </pic:pic>
              </a:graphicData>
            </a:graphic>
          </wp:inline>
        </w:drawing>
      </w:r>
    </w:p>
    <w:p w14:paraId="090296C2" w14:textId="7FB87F78" w:rsidR="0019428B" w:rsidRDefault="0019428B" w:rsidP="0019428B">
      <w:pPr>
        <w:pStyle w:val="Caption"/>
        <w:jc w:val="center"/>
      </w:pPr>
      <w:bookmarkStart w:id="7" w:name="_Ref1143802"/>
      <w:r>
        <w:t xml:space="preserve">Figure </w:t>
      </w:r>
      <w:r>
        <w:fldChar w:fldCharType="begin"/>
      </w:r>
      <w:r>
        <w:instrText xml:space="preserve"> SEQ Figure \* ARABIC </w:instrText>
      </w:r>
      <w:r>
        <w:fldChar w:fldCharType="separate"/>
      </w:r>
      <w:r>
        <w:rPr>
          <w:noProof/>
        </w:rPr>
        <w:t>8</w:t>
      </w:r>
      <w:r>
        <w:fldChar w:fldCharType="end"/>
      </w:r>
      <w:bookmarkEnd w:id="7"/>
      <w:r>
        <w:t xml:space="preserve">.  Comparison of the measured near field (top) and calculated far field (bottom) patterns for the </w:t>
      </w:r>
      <w:r>
        <w:t>narrowest beamwidth</w:t>
      </w:r>
      <w:r>
        <w:t xml:space="preserve"> setting.</w:t>
      </w:r>
      <w:r>
        <w:t xml:space="preserve">  Differences in sidelobes are now readily apparent.</w:t>
      </w:r>
    </w:p>
    <w:p w14:paraId="675D5D2A" w14:textId="5B05603B" w:rsidR="0019428B" w:rsidRDefault="0019428B" w:rsidP="0019428B">
      <w:pPr>
        <w:jc w:val="center"/>
      </w:pPr>
    </w:p>
    <w:p w14:paraId="78499BC3" w14:textId="77777777" w:rsidR="0019428B" w:rsidRDefault="0019428B" w:rsidP="0019428B">
      <w:pPr>
        <w:jc w:val="center"/>
      </w:pPr>
    </w:p>
    <w:p w14:paraId="73E6FCB0" w14:textId="7F78E744" w:rsidR="0019428B" w:rsidRDefault="0019428B">
      <w:r>
        <w:br w:type="page"/>
      </w:r>
    </w:p>
    <w:p w14:paraId="145BEAE8" w14:textId="0B2A8348" w:rsidR="0019428B" w:rsidRPr="00AE56A4" w:rsidRDefault="0019428B" w:rsidP="0019428B">
      <w:r>
        <w:lastRenderedPageBreak/>
        <w:t xml:space="preserve">While the pattern results are normalized and the range length is uncalibrated, it’s informative to compare the directivity of the near and far field patterns.  This gives some indication of the amount of error to be expected in the main lobe at peak EIRP.  While the 30 degree case has an excessive error that was also evident in the graphs themselves, the remaining patterns show on the order of </w:t>
      </w:r>
      <w:r>
        <w:rPr>
          <w:rFonts w:ascii="Times New Roman" w:hAnsi="Times New Roman" w:cs="Times New Roman"/>
        </w:rPr>
        <w:t>±</w:t>
      </w:r>
      <w:r>
        <w:t xml:space="preserve">1 – 1.25 dB.  Given the potential dynamic range improvements to be gained by operating with shorter range lengths, such an error/uncertainty may be acceptable.  </w:t>
      </w:r>
      <w:bookmarkStart w:id="8" w:name="_GoBack"/>
      <w:bookmarkEnd w:id="8"/>
    </w:p>
    <w:p w14:paraId="5C4D1B4E" w14:textId="77777777" w:rsidR="0019428B" w:rsidRDefault="0019428B" w:rsidP="0019428B">
      <w:pPr>
        <w:jc w:val="center"/>
      </w:pPr>
    </w:p>
    <w:tbl>
      <w:tblPr>
        <w:tblStyle w:val="TableGrid"/>
        <w:tblW w:w="0" w:type="auto"/>
        <w:tblInd w:w="1506" w:type="dxa"/>
        <w:tblLook w:val="04A0" w:firstRow="1" w:lastRow="0" w:firstColumn="1" w:lastColumn="0" w:noHBand="0" w:noVBand="1"/>
      </w:tblPr>
      <w:tblGrid>
        <w:gridCol w:w="1975"/>
        <w:gridCol w:w="1897"/>
        <w:gridCol w:w="1777"/>
        <w:gridCol w:w="960"/>
      </w:tblGrid>
      <w:tr w:rsidR="0019428B" w:rsidRPr="0019428B" w14:paraId="0F250458" w14:textId="77777777" w:rsidTr="0019428B">
        <w:trPr>
          <w:trHeight w:val="300"/>
        </w:trPr>
        <w:tc>
          <w:tcPr>
            <w:tcW w:w="1975" w:type="dxa"/>
            <w:noWrap/>
            <w:hideMark/>
          </w:tcPr>
          <w:p w14:paraId="698BFD0E" w14:textId="77777777" w:rsidR="0019428B" w:rsidRPr="0019428B" w:rsidRDefault="0019428B" w:rsidP="0019428B">
            <w:pPr>
              <w:jc w:val="center"/>
            </w:pPr>
          </w:p>
        </w:tc>
        <w:tc>
          <w:tcPr>
            <w:tcW w:w="3674" w:type="dxa"/>
            <w:gridSpan w:val="2"/>
            <w:noWrap/>
            <w:hideMark/>
          </w:tcPr>
          <w:p w14:paraId="3A77F0E8" w14:textId="77777777" w:rsidR="0019428B" w:rsidRPr="0019428B" w:rsidRDefault="0019428B">
            <w:pPr>
              <w:jc w:val="center"/>
            </w:pPr>
            <w:r w:rsidRPr="0019428B">
              <w:t>Directivity (dB)</w:t>
            </w:r>
          </w:p>
        </w:tc>
        <w:tc>
          <w:tcPr>
            <w:tcW w:w="960" w:type="dxa"/>
            <w:noWrap/>
            <w:hideMark/>
          </w:tcPr>
          <w:p w14:paraId="2661C08F" w14:textId="77777777" w:rsidR="0019428B" w:rsidRPr="0019428B" w:rsidRDefault="0019428B">
            <w:pPr>
              <w:jc w:val="center"/>
            </w:pPr>
          </w:p>
        </w:tc>
      </w:tr>
      <w:tr w:rsidR="0019428B" w:rsidRPr="0019428B" w14:paraId="27489452" w14:textId="77777777" w:rsidTr="0019428B">
        <w:trPr>
          <w:trHeight w:val="300"/>
        </w:trPr>
        <w:tc>
          <w:tcPr>
            <w:tcW w:w="1975" w:type="dxa"/>
            <w:noWrap/>
            <w:hideMark/>
          </w:tcPr>
          <w:p w14:paraId="1A246802" w14:textId="77777777" w:rsidR="0019428B" w:rsidRPr="0019428B" w:rsidRDefault="0019428B" w:rsidP="0019428B">
            <w:pPr>
              <w:jc w:val="center"/>
            </w:pPr>
          </w:p>
        </w:tc>
        <w:tc>
          <w:tcPr>
            <w:tcW w:w="1897" w:type="dxa"/>
            <w:noWrap/>
            <w:hideMark/>
          </w:tcPr>
          <w:p w14:paraId="01B6C582" w14:textId="77777777" w:rsidR="0019428B" w:rsidRPr="0019428B" w:rsidRDefault="0019428B" w:rsidP="0019428B">
            <w:pPr>
              <w:jc w:val="center"/>
            </w:pPr>
            <w:r w:rsidRPr="0019428B">
              <w:t>Measured Near Field</w:t>
            </w:r>
          </w:p>
        </w:tc>
        <w:tc>
          <w:tcPr>
            <w:tcW w:w="1777" w:type="dxa"/>
            <w:noWrap/>
            <w:hideMark/>
          </w:tcPr>
          <w:p w14:paraId="5BC3C938" w14:textId="77777777" w:rsidR="0019428B" w:rsidRPr="0019428B" w:rsidRDefault="0019428B" w:rsidP="0019428B">
            <w:pPr>
              <w:jc w:val="center"/>
            </w:pPr>
            <w:r w:rsidRPr="0019428B">
              <w:t>Calculated Far Field</w:t>
            </w:r>
          </w:p>
        </w:tc>
        <w:tc>
          <w:tcPr>
            <w:tcW w:w="960" w:type="dxa"/>
            <w:noWrap/>
            <w:hideMark/>
          </w:tcPr>
          <w:p w14:paraId="010B3DA5" w14:textId="77777777" w:rsidR="0019428B" w:rsidRPr="0019428B" w:rsidRDefault="0019428B" w:rsidP="0019428B">
            <w:pPr>
              <w:jc w:val="center"/>
            </w:pPr>
            <w:r w:rsidRPr="0019428B">
              <w:t>Delta (dB)</w:t>
            </w:r>
          </w:p>
        </w:tc>
      </w:tr>
      <w:tr w:rsidR="0019428B" w:rsidRPr="0019428B" w14:paraId="40D28FEC" w14:textId="77777777" w:rsidTr="0019428B">
        <w:trPr>
          <w:trHeight w:val="300"/>
        </w:trPr>
        <w:tc>
          <w:tcPr>
            <w:tcW w:w="1975" w:type="dxa"/>
            <w:noWrap/>
            <w:hideMark/>
          </w:tcPr>
          <w:p w14:paraId="266EDC2B" w14:textId="77777777" w:rsidR="0019428B" w:rsidRPr="0019428B" w:rsidRDefault="0019428B" w:rsidP="0019428B">
            <w:pPr>
              <w:jc w:val="center"/>
            </w:pPr>
            <w:r w:rsidRPr="0019428B">
              <w:t>60 ° Beamwidth</w:t>
            </w:r>
          </w:p>
        </w:tc>
        <w:tc>
          <w:tcPr>
            <w:tcW w:w="1897" w:type="dxa"/>
            <w:noWrap/>
            <w:hideMark/>
          </w:tcPr>
          <w:p w14:paraId="06011C74" w14:textId="77777777" w:rsidR="0019428B" w:rsidRPr="0019428B" w:rsidRDefault="0019428B" w:rsidP="0019428B">
            <w:pPr>
              <w:jc w:val="center"/>
            </w:pPr>
            <w:r w:rsidRPr="0019428B">
              <w:t>14.6154</w:t>
            </w:r>
          </w:p>
        </w:tc>
        <w:tc>
          <w:tcPr>
            <w:tcW w:w="1777" w:type="dxa"/>
            <w:noWrap/>
            <w:hideMark/>
          </w:tcPr>
          <w:p w14:paraId="73AD3A28" w14:textId="77777777" w:rsidR="0019428B" w:rsidRPr="0019428B" w:rsidRDefault="0019428B" w:rsidP="0019428B">
            <w:pPr>
              <w:jc w:val="center"/>
            </w:pPr>
            <w:r w:rsidRPr="0019428B">
              <w:t>15.7536</w:t>
            </w:r>
          </w:p>
        </w:tc>
        <w:tc>
          <w:tcPr>
            <w:tcW w:w="960" w:type="dxa"/>
            <w:noWrap/>
            <w:hideMark/>
          </w:tcPr>
          <w:p w14:paraId="579D18F0" w14:textId="77777777" w:rsidR="0019428B" w:rsidRPr="0019428B" w:rsidRDefault="0019428B" w:rsidP="0019428B">
            <w:pPr>
              <w:jc w:val="center"/>
            </w:pPr>
            <w:r w:rsidRPr="0019428B">
              <w:t>-1.1382</w:t>
            </w:r>
          </w:p>
        </w:tc>
      </w:tr>
      <w:tr w:rsidR="0019428B" w:rsidRPr="0019428B" w14:paraId="6B67FFE0" w14:textId="77777777" w:rsidTr="0019428B">
        <w:trPr>
          <w:trHeight w:val="300"/>
        </w:trPr>
        <w:tc>
          <w:tcPr>
            <w:tcW w:w="1975" w:type="dxa"/>
            <w:noWrap/>
            <w:hideMark/>
          </w:tcPr>
          <w:p w14:paraId="68E81751" w14:textId="77777777" w:rsidR="0019428B" w:rsidRPr="0019428B" w:rsidRDefault="0019428B" w:rsidP="0019428B">
            <w:pPr>
              <w:jc w:val="center"/>
            </w:pPr>
            <w:r w:rsidRPr="0019428B">
              <w:t>30 ° Beamwidth</w:t>
            </w:r>
          </w:p>
        </w:tc>
        <w:tc>
          <w:tcPr>
            <w:tcW w:w="1897" w:type="dxa"/>
            <w:noWrap/>
            <w:hideMark/>
          </w:tcPr>
          <w:p w14:paraId="2AD35C50" w14:textId="77777777" w:rsidR="0019428B" w:rsidRPr="0019428B" w:rsidRDefault="0019428B" w:rsidP="0019428B">
            <w:pPr>
              <w:jc w:val="center"/>
            </w:pPr>
            <w:r w:rsidRPr="0019428B">
              <w:t>23.1843</w:t>
            </w:r>
          </w:p>
        </w:tc>
        <w:tc>
          <w:tcPr>
            <w:tcW w:w="1777" w:type="dxa"/>
            <w:noWrap/>
            <w:hideMark/>
          </w:tcPr>
          <w:p w14:paraId="09893365" w14:textId="77777777" w:rsidR="0019428B" w:rsidRPr="0019428B" w:rsidRDefault="0019428B" w:rsidP="0019428B">
            <w:pPr>
              <w:jc w:val="center"/>
            </w:pPr>
            <w:r w:rsidRPr="0019428B">
              <w:t>20.6266</w:t>
            </w:r>
          </w:p>
        </w:tc>
        <w:tc>
          <w:tcPr>
            <w:tcW w:w="960" w:type="dxa"/>
            <w:noWrap/>
            <w:hideMark/>
          </w:tcPr>
          <w:p w14:paraId="6F85645C" w14:textId="77777777" w:rsidR="0019428B" w:rsidRPr="0019428B" w:rsidRDefault="0019428B" w:rsidP="0019428B">
            <w:pPr>
              <w:jc w:val="center"/>
            </w:pPr>
            <w:r w:rsidRPr="0019428B">
              <w:t>2.5577</w:t>
            </w:r>
          </w:p>
        </w:tc>
      </w:tr>
      <w:tr w:rsidR="0019428B" w:rsidRPr="0019428B" w14:paraId="4F391F4A" w14:textId="77777777" w:rsidTr="0019428B">
        <w:trPr>
          <w:trHeight w:val="300"/>
        </w:trPr>
        <w:tc>
          <w:tcPr>
            <w:tcW w:w="1975" w:type="dxa"/>
            <w:noWrap/>
            <w:hideMark/>
          </w:tcPr>
          <w:p w14:paraId="0FD0284B" w14:textId="77777777" w:rsidR="0019428B" w:rsidRPr="0019428B" w:rsidRDefault="0019428B" w:rsidP="0019428B">
            <w:pPr>
              <w:jc w:val="center"/>
            </w:pPr>
            <w:r w:rsidRPr="0019428B">
              <w:t>Low Sidelobe</w:t>
            </w:r>
          </w:p>
        </w:tc>
        <w:tc>
          <w:tcPr>
            <w:tcW w:w="1897" w:type="dxa"/>
            <w:noWrap/>
            <w:hideMark/>
          </w:tcPr>
          <w:p w14:paraId="3FA678B9" w14:textId="77777777" w:rsidR="0019428B" w:rsidRPr="0019428B" w:rsidRDefault="0019428B" w:rsidP="0019428B">
            <w:pPr>
              <w:jc w:val="center"/>
            </w:pPr>
            <w:r w:rsidRPr="0019428B">
              <w:t>29.2372</w:t>
            </w:r>
          </w:p>
        </w:tc>
        <w:tc>
          <w:tcPr>
            <w:tcW w:w="1777" w:type="dxa"/>
            <w:noWrap/>
            <w:hideMark/>
          </w:tcPr>
          <w:p w14:paraId="707222E0" w14:textId="77777777" w:rsidR="0019428B" w:rsidRPr="0019428B" w:rsidRDefault="0019428B" w:rsidP="0019428B">
            <w:pPr>
              <w:jc w:val="center"/>
            </w:pPr>
            <w:r w:rsidRPr="0019428B">
              <w:t>28.0013</w:t>
            </w:r>
          </w:p>
        </w:tc>
        <w:tc>
          <w:tcPr>
            <w:tcW w:w="960" w:type="dxa"/>
            <w:noWrap/>
            <w:hideMark/>
          </w:tcPr>
          <w:p w14:paraId="65B0EB20" w14:textId="77777777" w:rsidR="0019428B" w:rsidRPr="0019428B" w:rsidRDefault="0019428B" w:rsidP="0019428B">
            <w:pPr>
              <w:jc w:val="center"/>
            </w:pPr>
            <w:r w:rsidRPr="0019428B">
              <w:t>1.2359</w:t>
            </w:r>
          </w:p>
        </w:tc>
      </w:tr>
      <w:tr w:rsidR="0019428B" w:rsidRPr="0019428B" w14:paraId="13501A11" w14:textId="77777777" w:rsidTr="0019428B">
        <w:trPr>
          <w:trHeight w:val="300"/>
        </w:trPr>
        <w:tc>
          <w:tcPr>
            <w:tcW w:w="1975" w:type="dxa"/>
            <w:noWrap/>
            <w:hideMark/>
          </w:tcPr>
          <w:p w14:paraId="5D722C9A" w14:textId="77777777" w:rsidR="0019428B" w:rsidRPr="0019428B" w:rsidRDefault="0019428B" w:rsidP="0019428B">
            <w:pPr>
              <w:jc w:val="center"/>
            </w:pPr>
            <w:r w:rsidRPr="0019428B">
              <w:t>Minimum Beamwidth</w:t>
            </w:r>
          </w:p>
        </w:tc>
        <w:tc>
          <w:tcPr>
            <w:tcW w:w="1897" w:type="dxa"/>
            <w:noWrap/>
            <w:hideMark/>
          </w:tcPr>
          <w:p w14:paraId="0025FE2B" w14:textId="77777777" w:rsidR="0019428B" w:rsidRPr="0019428B" w:rsidRDefault="0019428B" w:rsidP="0019428B">
            <w:pPr>
              <w:jc w:val="center"/>
            </w:pPr>
            <w:r w:rsidRPr="0019428B">
              <w:t>30.5212</w:t>
            </w:r>
          </w:p>
        </w:tc>
        <w:tc>
          <w:tcPr>
            <w:tcW w:w="1777" w:type="dxa"/>
            <w:noWrap/>
            <w:hideMark/>
          </w:tcPr>
          <w:p w14:paraId="4C947284" w14:textId="77777777" w:rsidR="0019428B" w:rsidRPr="0019428B" w:rsidRDefault="0019428B" w:rsidP="0019428B">
            <w:pPr>
              <w:jc w:val="center"/>
            </w:pPr>
            <w:r w:rsidRPr="0019428B">
              <w:t>29.6324</w:t>
            </w:r>
          </w:p>
        </w:tc>
        <w:tc>
          <w:tcPr>
            <w:tcW w:w="960" w:type="dxa"/>
            <w:noWrap/>
            <w:hideMark/>
          </w:tcPr>
          <w:p w14:paraId="75FA02F3" w14:textId="77777777" w:rsidR="0019428B" w:rsidRPr="0019428B" w:rsidRDefault="0019428B" w:rsidP="0019428B">
            <w:pPr>
              <w:jc w:val="center"/>
            </w:pPr>
            <w:r w:rsidRPr="0019428B">
              <w:t>0.8888</w:t>
            </w:r>
          </w:p>
        </w:tc>
      </w:tr>
    </w:tbl>
    <w:p w14:paraId="5334030A" w14:textId="39FD7AA9" w:rsidR="0019428B" w:rsidRDefault="0019428B" w:rsidP="0019428B">
      <w:pPr>
        <w:jc w:val="center"/>
      </w:pPr>
    </w:p>
    <w:p w14:paraId="4C5772A5" w14:textId="51D60832" w:rsidR="0019428B" w:rsidRDefault="0019428B" w:rsidP="0019428B">
      <w:pPr>
        <w:jc w:val="center"/>
      </w:pPr>
    </w:p>
    <w:p w14:paraId="1B05415B" w14:textId="77777777" w:rsidR="0019428B" w:rsidRPr="00C00DA7" w:rsidRDefault="0019428B" w:rsidP="0019428B">
      <w:pPr>
        <w:jc w:val="center"/>
      </w:pPr>
    </w:p>
    <w:p w14:paraId="2B5FB163" w14:textId="62986C29" w:rsidR="00AE56A4" w:rsidRDefault="00AE56A4" w:rsidP="00AE56A4">
      <w:pPr>
        <w:pStyle w:val="Heading1"/>
      </w:pPr>
      <w:r>
        <w:t>3</w:t>
      </w:r>
      <w:r>
        <w:tab/>
        <w:t>Conclusion</w:t>
      </w:r>
      <w:r w:rsidR="00D20B36">
        <w:t xml:space="preserve"> </w:t>
      </w:r>
    </w:p>
    <w:p w14:paraId="4C73F46B" w14:textId="4DE9AC1E" w:rsidR="005B2279" w:rsidRPr="00AE56A4" w:rsidRDefault="00122DB7" w:rsidP="00AE56A4">
      <w:r>
        <w:t xml:space="preserve">While this is just a quick initial evaluation of a few results, it would appear that many of the metrics of interest for conformance testing of the 5G NR could potentially be done in the near field with measurement uncertainties similar to that for longer range lengths that meet the far field condition.  Further testing is needed to better quantify the impact of range length, but if a high gain beam former can perform this well, chances are lower gain antennas will have even lower uncertainties.  Future work will attempt to investigate this further.  </w:t>
      </w:r>
    </w:p>
    <w:sectPr w:rsidR="005B2279" w:rsidRPr="00AE56A4">
      <w:headerReference w:type="even" r:id="rId5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2DCF4A" w14:textId="77777777" w:rsidR="00D45977" w:rsidRDefault="00D45977" w:rsidP="002B3503">
      <w:r>
        <w:separator/>
      </w:r>
    </w:p>
  </w:endnote>
  <w:endnote w:type="continuationSeparator" w:id="0">
    <w:p w14:paraId="0F9E06DA" w14:textId="77777777" w:rsidR="00D45977" w:rsidRDefault="00D45977" w:rsidP="002B35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EC5E29" w14:textId="77777777" w:rsidR="00D45977" w:rsidRDefault="00D45977" w:rsidP="002B3503">
      <w:r>
        <w:separator/>
      </w:r>
    </w:p>
  </w:footnote>
  <w:footnote w:type="continuationSeparator" w:id="0">
    <w:p w14:paraId="1989797D" w14:textId="77777777" w:rsidR="00D45977" w:rsidRDefault="00D45977" w:rsidP="002B35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3245A7"/>
    <w:multiLevelType w:val="hybridMultilevel"/>
    <w:tmpl w:val="8CD66268"/>
    <w:lvl w:ilvl="0" w:tplc="51E06D9C">
      <w:start w:val="1"/>
      <w:numFmt w:val="decimal"/>
      <w:lvlText w:val="%1"/>
      <w:lvlJc w:val="left"/>
      <w:pPr>
        <w:ind w:left="1488" w:hanging="1128"/>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25CF1E74"/>
    <w:multiLevelType w:val="hybridMultilevel"/>
    <w:tmpl w:val="EACE7A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779268E3"/>
    <w:multiLevelType w:val="hybridMultilevel"/>
    <w:tmpl w:val="571E7796"/>
    <w:lvl w:ilvl="0" w:tplc="040B0001">
      <w:start w:val="1"/>
      <w:numFmt w:val="bullet"/>
      <w:lvlText w:val=""/>
      <w:lvlJc w:val="left"/>
      <w:pPr>
        <w:ind w:left="720" w:hanging="360"/>
      </w:pPr>
      <w:rPr>
        <w:rFonts w:ascii="Symbol" w:hAnsi="Symbol" w:hint="default"/>
      </w:rPr>
    </w:lvl>
    <w:lvl w:ilvl="1" w:tplc="57F6CF96">
      <w:numFmt w:val="bullet"/>
      <w:lvlText w:val="•"/>
      <w:lvlJc w:val="left"/>
      <w:pPr>
        <w:ind w:left="1440" w:hanging="360"/>
      </w:pPr>
      <w:rPr>
        <w:rFonts w:ascii="Times New Roman" w:eastAsia="Times New Roman" w:hAnsi="Times New Roman" w:cs="Times New Roman"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3"/>
  </w:num>
  <w:num w:numId="4">
    <w:abstractNumId w:val="4"/>
  </w:num>
  <w:num w:numId="5">
    <w:abstractNumId w:val="0"/>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008B4"/>
    <w:rsid w:val="00025018"/>
    <w:rsid w:val="0004377E"/>
    <w:rsid w:val="00085063"/>
    <w:rsid w:val="00091F0B"/>
    <w:rsid w:val="00095B7B"/>
    <w:rsid w:val="000A6473"/>
    <w:rsid w:val="000B4E56"/>
    <w:rsid w:val="000C2BE3"/>
    <w:rsid w:val="000E470F"/>
    <w:rsid w:val="000F2546"/>
    <w:rsid w:val="00122DB7"/>
    <w:rsid w:val="001364A1"/>
    <w:rsid w:val="0015000E"/>
    <w:rsid w:val="0017511F"/>
    <w:rsid w:val="00177B61"/>
    <w:rsid w:val="0019428B"/>
    <w:rsid w:val="001C1F8D"/>
    <w:rsid w:val="00214C87"/>
    <w:rsid w:val="00232771"/>
    <w:rsid w:val="00252770"/>
    <w:rsid w:val="00272827"/>
    <w:rsid w:val="00272BD1"/>
    <w:rsid w:val="00287409"/>
    <w:rsid w:val="00291DDD"/>
    <w:rsid w:val="002A4229"/>
    <w:rsid w:val="002A7181"/>
    <w:rsid w:val="002B3503"/>
    <w:rsid w:val="002F2893"/>
    <w:rsid w:val="002F6A38"/>
    <w:rsid w:val="003070D7"/>
    <w:rsid w:val="00325BA0"/>
    <w:rsid w:val="00347DEA"/>
    <w:rsid w:val="003777FE"/>
    <w:rsid w:val="00392DB6"/>
    <w:rsid w:val="003A2A25"/>
    <w:rsid w:val="003C28DB"/>
    <w:rsid w:val="003D743A"/>
    <w:rsid w:val="003E38E0"/>
    <w:rsid w:val="003F7277"/>
    <w:rsid w:val="00431FA9"/>
    <w:rsid w:val="0043450E"/>
    <w:rsid w:val="00454E53"/>
    <w:rsid w:val="00482477"/>
    <w:rsid w:val="0048531A"/>
    <w:rsid w:val="00491386"/>
    <w:rsid w:val="00494F18"/>
    <w:rsid w:val="004A5DCC"/>
    <w:rsid w:val="004A62E8"/>
    <w:rsid w:val="004B58C2"/>
    <w:rsid w:val="004C0103"/>
    <w:rsid w:val="004C58F9"/>
    <w:rsid w:val="004D0C67"/>
    <w:rsid w:val="004D3D81"/>
    <w:rsid w:val="004E6F40"/>
    <w:rsid w:val="004F702E"/>
    <w:rsid w:val="00533CF7"/>
    <w:rsid w:val="00557B7A"/>
    <w:rsid w:val="00560A63"/>
    <w:rsid w:val="00570B14"/>
    <w:rsid w:val="005B2279"/>
    <w:rsid w:val="005B2640"/>
    <w:rsid w:val="005C5701"/>
    <w:rsid w:val="005C60BB"/>
    <w:rsid w:val="005D4A23"/>
    <w:rsid w:val="005E34FB"/>
    <w:rsid w:val="005F6CE3"/>
    <w:rsid w:val="00602EB6"/>
    <w:rsid w:val="0060493A"/>
    <w:rsid w:val="00641C2E"/>
    <w:rsid w:val="006426B9"/>
    <w:rsid w:val="00666B35"/>
    <w:rsid w:val="006671C7"/>
    <w:rsid w:val="0068226E"/>
    <w:rsid w:val="006A5EEC"/>
    <w:rsid w:val="006C6840"/>
    <w:rsid w:val="006D7CD6"/>
    <w:rsid w:val="006F2D73"/>
    <w:rsid w:val="00726265"/>
    <w:rsid w:val="007369DC"/>
    <w:rsid w:val="007548E5"/>
    <w:rsid w:val="0076545A"/>
    <w:rsid w:val="007A2947"/>
    <w:rsid w:val="007D20DF"/>
    <w:rsid w:val="007F3965"/>
    <w:rsid w:val="008236E4"/>
    <w:rsid w:val="008346CE"/>
    <w:rsid w:val="0084686C"/>
    <w:rsid w:val="008711B2"/>
    <w:rsid w:val="0088586D"/>
    <w:rsid w:val="008A29F4"/>
    <w:rsid w:val="008A4493"/>
    <w:rsid w:val="008C3CF1"/>
    <w:rsid w:val="008D1A48"/>
    <w:rsid w:val="00940559"/>
    <w:rsid w:val="00963F4A"/>
    <w:rsid w:val="00996062"/>
    <w:rsid w:val="009B1E68"/>
    <w:rsid w:val="00A06D9C"/>
    <w:rsid w:val="00A451E8"/>
    <w:rsid w:val="00A56EBF"/>
    <w:rsid w:val="00A6018C"/>
    <w:rsid w:val="00A74760"/>
    <w:rsid w:val="00AC4FE4"/>
    <w:rsid w:val="00AE56A4"/>
    <w:rsid w:val="00AE6327"/>
    <w:rsid w:val="00B52223"/>
    <w:rsid w:val="00B65926"/>
    <w:rsid w:val="00B65B59"/>
    <w:rsid w:val="00B87DA9"/>
    <w:rsid w:val="00BB57D3"/>
    <w:rsid w:val="00BC764C"/>
    <w:rsid w:val="00BD039B"/>
    <w:rsid w:val="00BD4145"/>
    <w:rsid w:val="00BD4B59"/>
    <w:rsid w:val="00C00DA7"/>
    <w:rsid w:val="00C05076"/>
    <w:rsid w:val="00C21554"/>
    <w:rsid w:val="00C91A0B"/>
    <w:rsid w:val="00CA0A98"/>
    <w:rsid w:val="00D20101"/>
    <w:rsid w:val="00D20B36"/>
    <w:rsid w:val="00D251B3"/>
    <w:rsid w:val="00D275CC"/>
    <w:rsid w:val="00D45977"/>
    <w:rsid w:val="00D503A8"/>
    <w:rsid w:val="00D57F96"/>
    <w:rsid w:val="00D63D01"/>
    <w:rsid w:val="00D767C4"/>
    <w:rsid w:val="00D77CF5"/>
    <w:rsid w:val="00DD4C0D"/>
    <w:rsid w:val="00DF2DB9"/>
    <w:rsid w:val="00E33B68"/>
    <w:rsid w:val="00E62555"/>
    <w:rsid w:val="00E962C5"/>
    <w:rsid w:val="00EA3488"/>
    <w:rsid w:val="00EC589F"/>
    <w:rsid w:val="00ED1FBD"/>
    <w:rsid w:val="00F23693"/>
    <w:rsid w:val="00F8473D"/>
    <w:rsid w:val="00F92455"/>
    <w:rsid w:val="00FD085A"/>
    <w:rsid w:val="00FD0EFC"/>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743A"/>
    <w:rPr>
      <w:rFonts w:ascii="Calibri" w:eastAsiaTheme="minorHAnsi" w:hAnsi="Calibri" w:cs="Calibri"/>
      <w:sz w:val="22"/>
      <w:szCs w:val="22"/>
      <w:lang w:val="en-US" w:eastAsia="en-US"/>
    </w:rPr>
  </w:style>
  <w:style w:type="paragraph" w:styleId="Heading1">
    <w:name w:val="heading 1"/>
    <w:next w:val="Normal"/>
    <w:link w:val="Heading1Char"/>
    <w:qFormat/>
    <w:rsid w:val="00FD0E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FD0EFC"/>
    <w:pPr>
      <w:pBdr>
        <w:top w:val="none" w:sz="0" w:space="0" w:color="auto"/>
      </w:pBdr>
      <w:spacing w:before="180"/>
      <w:outlineLvl w:val="1"/>
    </w:pPr>
    <w:rPr>
      <w:sz w:val="32"/>
    </w:rPr>
  </w:style>
  <w:style w:type="paragraph" w:styleId="Heading3">
    <w:name w:val="heading 3"/>
    <w:basedOn w:val="Heading2"/>
    <w:next w:val="Normal"/>
    <w:qFormat/>
    <w:rsid w:val="00FD0EFC"/>
    <w:pPr>
      <w:spacing w:before="120"/>
      <w:outlineLvl w:val="2"/>
    </w:pPr>
    <w:rPr>
      <w:sz w:val="28"/>
    </w:rPr>
  </w:style>
  <w:style w:type="paragraph" w:styleId="Heading4">
    <w:name w:val="heading 4"/>
    <w:basedOn w:val="Heading3"/>
    <w:next w:val="Normal"/>
    <w:qFormat/>
    <w:rsid w:val="00FD0EFC"/>
    <w:pPr>
      <w:ind w:left="1418" w:hanging="1418"/>
      <w:outlineLvl w:val="3"/>
    </w:pPr>
    <w:rPr>
      <w:sz w:val="24"/>
    </w:rPr>
  </w:style>
  <w:style w:type="paragraph" w:styleId="Heading5">
    <w:name w:val="heading 5"/>
    <w:basedOn w:val="Heading4"/>
    <w:next w:val="Normal"/>
    <w:qFormat/>
    <w:rsid w:val="00FD0EFC"/>
    <w:pPr>
      <w:ind w:left="1701" w:hanging="1701"/>
      <w:outlineLvl w:val="4"/>
    </w:pPr>
    <w:rPr>
      <w:sz w:val="22"/>
    </w:rPr>
  </w:style>
  <w:style w:type="paragraph" w:styleId="Heading6">
    <w:name w:val="heading 6"/>
    <w:basedOn w:val="H6"/>
    <w:next w:val="Normal"/>
    <w:qFormat/>
    <w:rsid w:val="00FD0EFC"/>
    <w:pPr>
      <w:outlineLvl w:val="5"/>
    </w:pPr>
  </w:style>
  <w:style w:type="paragraph" w:styleId="Heading7">
    <w:name w:val="heading 7"/>
    <w:basedOn w:val="H6"/>
    <w:next w:val="Normal"/>
    <w:qFormat/>
    <w:rsid w:val="00FD0EFC"/>
    <w:pPr>
      <w:outlineLvl w:val="6"/>
    </w:pPr>
  </w:style>
  <w:style w:type="paragraph" w:styleId="Heading8">
    <w:name w:val="heading 8"/>
    <w:basedOn w:val="Heading1"/>
    <w:next w:val="Normal"/>
    <w:qFormat/>
    <w:rsid w:val="00FD0EFC"/>
    <w:pPr>
      <w:ind w:left="0" w:firstLine="0"/>
      <w:outlineLvl w:val="7"/>
    </w:pPr>
  </w:style>
  <w:style w:type="paragraph" w:styleId="Heading9">
    <w:name w:val="heading 9"/>
    <w:basedOn w:val="Heading8"/>
    <w:next w:val="Normal"/>
    <w:qFormat/>
    <w:rsid w:val="00FD0EF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D0EFC"/>
    <w:pPr>
      <w:spacing w:before="180"/>
      <w:ind w:left="2693" w:hanging="2693"/>
    </w:pPr>
    <w:rPr>
      <w:b/>
    </w:rPr>
  </w:style>
  <w:style w:type="paragraph" w:styleId="TOC1">
    <w:name w:val="toc 1"/>
    <w:semiHidden/>
    <w:rsid w:val="00FD0E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FD0EF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FD0EFC"/>
    <w:pPr>
      <w:ind w:left="1701" w:hanging="1701"/>
    </w:pPr>
  </w:style>
  <w:style w:type="paragraph" w:styleId="TOC4">
    <w:name w:val="toc 4"/>
    <w:basedOn w:val="TOC3"/>
    <w:semiHidden/>
    <w:rsid w:val="00FD0EFC"/>
    <w:pPr>
      <w:ind w:left="1418" w:hanging="1418"/>
    </w:pPr>
  </w:style>
  <w:style w:type="paragraph" w:styleId="TOC3">
    <w:name w:val="toc 3"/>
    <w:basedOn w:val="TOC2"/>
    <w:semiHidden/>
    <w:rsid w:val="00FD0EFC"/>
    <w:pPr>
      <w:ind w:left="1134" w:hanging="1134"/>
    </w:pPr>
  </w:style>
  <w:style w:type="paragraph" w:styleId="TOC2">
    <w:name w:val="toc 2"/>
    <w:basedOn w:val="TOC1"/>
    <w:semiHidden/>
    <w:rsid w:val="00FD0EFC"/>
    <w:pPr>
      <w:keepNext w:val="0"/>
      <w:spacing w:before="0"/>
      <w:ind w:left="851" w:hanging="851"/>
    </w:pPr>
    <w:rPr>
      <w:sz w:val="20"/>
    </w:rPr>
  </w:style>
  <w:style w:type="paragraph" w:styleId="Index2">
    <w:name w:val="index 2"/>
    <w:basedOn w:val="Index1"/>
    <w:semiHidden/>
    <w:rsid w:val="00FD0EFC"/>
    <w:pPr>
      <w:ind w:left="284"/>
    </w:pPr>
  </w:style>
  <w:style w:type="paragraph" w:styleId="Index1">
    <w:name w:val="index 1"/>
    <w:basedOn w:val="Normal"/>
    <w:semiHidden/>
    <w:rsid w:val="00FD0EFC"/>
    <w:pPr>
      <w:keepLines/>
    </w:pPr>
  </w:style>
  <w:style w:type="paragraph" w:customStyle="1" w:styleId="ZH">
    <w:name w:val="ZH"/>
    <w:rsid w:val="00FD0EF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FD0EFC"/>
    <w:pPr>
      <w:outlineLvl w:val="9"/>
    </w:pPr>
  </w:style>
  <w:style w:type="paragraph" w:styleId="ListNumber2">
    <w:name w:val="List Number 2"/>
    <w:basedOn w:val="ListNumber"/>
    <w:semiHidden/>
    <w:rsid w:val="00FD0EF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D0EFC"/>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FD0EFC"/>
    <w:rPr>
      <w:b/>
      <w:position w:val="6"/>
      <w:sz w:val="16"/>
    </w:rPr>
  </w:style>
  <w:style w:type="paragraph" w:styleId="FootnoteText">
    <w:name w:val="footnote text"/>
    <w:basedOn w:val="Normal"/>
    <w:semiHidden/>
    <w:rsid w:val="00FD0EFC"/>
    <w:pPr>
      <w:keepLines/>
      <w:ind w:left="454" w:hanging="454"/>
    </w:pPr>
    <w:rPr>
      <w:sz w:val="16"/>
    </w:rPr>
  </w:style>
  <w:style w:type="paragraph" w:customStyle="1" w:styleId="TAH">
    <w:name w:val="TAH"/>
    <w:basedOn w:val="TAC"/>
    <w:link w:val="TAHCar"/>
    <w:rsid w:val="00FD0EFC"/>
    <w:rPr>
      <w:b/>
    </w:rPr>
  </w:style>
  <w:style w:type="paragraph" w:customStyle="1" w:styleId="TAC">
    <w:name w:val="TAC"/>
    <w:basedOn w:val="TAL"/>
    <w:link w:val="TACChar"/>
    <w:rsid w:val="00FD0EFC"/>
    <w:pPr>
      <w:jc w:val="center"/>
    </w:pPr>
  </w:style>
  <w:style w:type="paragraph" w:customStyle="1" w:styleId="TF">
    <w:name w:val="TF"/>
    <w:basedOn w:val="TH"/>
    <w:rsid w:val="00FD0EFC"/>
    <w:pPr>
      <w:keepNext w:val="0"/>
      <w:spacing w:before="0" w:after="240"/>
    </w:pPr>
  </w:style>
  <w:style w:type="paragraph" w:customStyle="1" w:styleId="NO">
    <w:name w:val="NO"/>
    <w:basedOn w:val="Normal"/>
    <w:rsid w:val="00FD0EFC"/>
    <w:pPr>
      <w:keepLines/>
      <w:ind w:left="1135" w:hanging="851"/>
    </w:pPr>
  </w:style>
  <w:style w:type="paragraph" w:styleId="TOC9">
    <w:name w:val="toc 9"/>
    <w:basedOn w:val="TOC8"/>
    <w:semiHidden/>
    <w:rsid w:val="00FD0EFC"/>
    <w:pPr>
      <w:ind w:left="1418" w:hanging="1418"/>
    </w:pPr>
  </w:style>
  <w:style w:type="paragraph" w:customStyle="1" w:styleId="EX">
    <w:name w:val="EX"/>
    <w:basedOn w:val="Normal"/>
    <w:rsid w:val="00FD0EFC"/>
    <w:pPr>
      <w:keepLines/>
      <w:ind w:left="1702" w:hanging="1418"/>
    </w:pPr>
  </w:style>
  <w:style w:type="paragraph" w:customStyle="1" w:styleId="FP">
    <w:name w:val="FP"/>
    <w:basedOn w:val="Normal"/>
    <w:rsid w:val="00FD0EFC"/>
  </w:style>
  <w:style w:type="paragraph" w:customStyle="1" w:styleId="LD">
    <w:name w:val="LD"/>
    <w:rsid w:val="00FD0EFC"/>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FD0EFC"/>
  </w:style>
  <w:style w:type="paragraph" w:customStyle="1" w:styleId="EW">
    <w:name w:val="EW"/>
    <w:basedOn w:val="EX"/>
    <w:rsid w:val="00FD0EFC"/>
  </w:style>
  <w:style w:type="paragraph" w:styleId="TOC6">
    <w:name w:val="toc 6"/>
    <w:basedOn w:val="TOC5"/>
    <w:next w:val="Normal"/>
    <w:semiHidden/>
    <w:rsid w:val="00FD0EFC"/>
    <w:pPr>
      <w:ind w:left="1985" w:hanging="1985"/>
    </w:pPr>
  </w:style>
  <w:style w:type="paragraph" w:styleId="TOC7">
    <w:name w:val="toc 7"/>
    <w:basedOn w:val="TOC6"/>
    <w:next w:val="Normal"/>
    <w:semiHidden/>
    <w:rsid w:val="00FD0EFC"/>
    <w:pPr>
      <w:ind w:left="2268" w:hanging="2268"/>
    </w:pPr>
  </w:style>
  <w:style w:type="paragraph" w:styleId="ListBullet2">
    <w:name w:val="List Bullet 2"/>
    <w:basedOn w:val="ListBullet"/>
    <w:semiHidden/>
    <w:rsid w:val="00FD0EFC"/>
    <w:pPr>
      <w:ind w:left="851"/>
    </w:pPr>
  </w:style>
  <w:style w:type="paragraph" w:styleId="ListBullet3">
    <w:name w:val="List Bullet 3"/>
    <w:basedOn w:val="ListBullet2"/>
    <w:semiHidden/>
    <w:rsid w:val="00FD0EFC"/>
    <w:pPr>
      <w:ind w:left="1135"/>
    </w:pPr>
  </w:style>
  <w:style w:type="paragraph" w:styleId="ListNumber">
    <w:name w:val="List Number"/>
    <w:basedOn w:val="List"/>
    <w:semiHidden/>
    <w:rsid w:val="00FD0EFC"/>
  </w:style>
  <w:style w:type="paragraph" w:customStyle="1" w:styleId="EQ">
    <w:name w:val="EQ"/>
    <w:basedOn w:val="Normal"/>
    <w:next w:val="Normal"/>
    <w:rsid w:val="00FD0EFC"/>
    <w:pPr>
      <w:keepLines/>
      <w:tabs>
        <w:tab w:val="center" w:pos="4536"/>
        <w:tab w:val="right" w:pos="9072"/>
      </w:tabs>
    </w:pPr>
    <w:rPr>
      <w:noProof/>
    </w:rPr>
  </w:style>
  <w:style w:type="paragraph" w:customStyle="1" w:styleId="TH">
    <w:name w:val="TH"/>
    <w:basedOn w:val="Normal"/>
    <w:rsid w:val="00FD0EFC"/>
    <w:pPr>
      <w:keepNext/>
      <w:keepLines/>
      <w:spacing w:before="60"/>
      <w:jc w:val="center"/>
    </w:pPr>
    <w:rPr>
      <w:rFonts w:ascii="Arial" w:hAnsi="Arial"/>
      <w:b/>
    </w:rPr>
  </w:style>
  <w:style w:type="paragraph" w:customStyle="1" w:styleId="NF">
    <w:name w:val="NF"/>
    <w:basedOn w:val="NO"/>
    <w:rsid w:val="00FD0EFC"/>
    <w:pPr>
      <w:keepNext/>
    </w:pPr>
    <w:rPr>
      <w:rFonts w:ascii="Arial" w:hAnsi="Arial"/>
      <w:sz w:val="18"/>
    </w:rPr>
  </w:style>
  <w:style w:type="paragraph" w:customStyle="1" w:styleId="PL">
    <w:name w:val="PL"/>
    <w:rsid w:val="00FD0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FD0EFC"/>
    <w:pPr>
      <w:jc w:val="right"/>
    </w:pPr>
  </w:style>
  <w:style w:type="paragraph" w:customStyle="1" w:styleId="H6">
    <w:name w:val="H6"/>
    <w:basedOn w:val="Heading5"/>
    <w:next w:val="Normal"/>
    <w:rsid w:val="00FD0EFC"/>
    <w:pPr>
      <w:ind w:left="1985" w:hanging="1985"/>
      <w:outlineLvl w:val="9"/>
    </w:pPr>
    <w:rPr>
      <w:sz w:val="20"/>
    </w:rPr>
  </w:style>
  <w:style w:type="paragraph" w:customStyle="1" w:styleId="TAN">
    <w:name w:val="TAN"/>
    <w:basedOn w:val="TAL"/>
    <w:rsid w:val="00FD0EFC"/>
    <w:pPr>
      <w:ind w:left="851" w:hanging="851"/>
    </w:pPr>
  </w:style>
  <w:style w:type="paragraph" w:customStyle="1" w:styleId="TAL">
    <w:name w:val="TAL"/>
    <w:basedOn w:val="Normal"/>
    <w:rsid w:val="00FD0EFC"/>
    <w:pPr>
      <w:keepNext/>
      <w:keepLines/>
    </w:pPr>
    <w:rPr>
      <w:rFonts w:ascii="Arial" w:hAnsi="Arial"/>
      <w:sz w:val="18"/>
    </w:rPr>
  </w:style>
  <w:style w:type="paragraph" w:customStyle="1" w:styleId="ZA">
    <w:name w:val="ZA"/>
    <w:rsid w:val="00FD0E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FD0E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FD0EF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FD0E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FD0EFC"/>
    <w:pPr>
      <w:framePr w:wrap="notBeside" w:y="16161"/>
    </w:pPr>
  </w:style>
  <w:style w:type="character" w:customStyle="1" w:styleId="ZGSM">
    <w:name w:val="ZGSM"/>
    <w:rsid w:val="00FD0EFC"/>
  </w:style>
  <w:style w:type="paragraph" w:styleId="List2">
    <w:name w:val="List 2"/>
    <w:basedOn w:val="List"/>
    <w:semiHidden/>
    <w:rsid w:val="00FD0EFC"/>
    <w:pPr>
      <w:ind w:left="851"/>
    </w:pPr>
  </w:style>
  <w:style w:type="paragraph" w:customStyle="1" w:styleId="ZG">
    <w:name w:val="ZG"/>
    <w:rsid w:val="00FD0EF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FD0EFC"/>
    <w:pPr>
      <w:ind w:left="1135"/>
    </w:pPr>
  </w:style>
  <w:style w:type="paragraph" w:styleId="List4">
    <w:name w:val="List 4"/>
    <w:basedOn w:val="List3"/>
    <w:semiHidden/>
    <w:rsid w:val="00FD0EFC"/>
    <w:pPr>
      <w:ind w:left="1418"/>
    </w:pPr>
  </w:style>
  <w:style w:type="paragraph" w:styleId="List5">
    <w:name w:val="List 5"/>
    <w:basedOn w:val="List4"/>
    <w:semiHidden/>
    <w:rsid w:val="00FD0EFC"/>
    <w:pPr>
      <w:ind w:left="1702"/>
    </w:pPr>
  </w:style>
  <w:style w:type="paragraph" w:customStyle="1" w:styleId="EditorsNote">
    <w:name w:val="Editor's Note"/>
    <w:basedOn w:val="NO"/>
    <w:rsid w:val="00FD0EFC"/>
    <w:rPr>
      <w:color w:val="FF0000"/>
    </w:rPr>
  </w:style>
  <w:style w:type="paragraph" w:styleId="List">
    <w:name w:val="List"/>
    <w:basedOn w:val="Normal"/>
    <w:semiHidden/>
    <w:rsid w:val="00FD0EFC"/>
    <w:pPr>
      <w:ind w:left="568" w:hanging="284"/>
    </w:pPr>
  </w:style>
  <w:style w:type="paragraph" w:styleId="ListBullet">
    <w:name w:val="List Bullet"/>
    <w:basedOn w:val="List"/>
    <w:semiHidden/>
    <w:rsid w:val="00FD0EFC"/>
  </w:style>
  <w:style w:type="paragraph" w:styleId="ListBullet4">
    <w:name w:val="List Bullet 4"/>
    <w:basedOn w:val="ListBullet3"/>
    <w:semiHidden/>
    <w:rsid w:val="00FD0EFC"/>
    <w:pPr>
      <w:ind w:left="1418"/>
    </w:pPr>
  </w:style>
  <w:style w:type="paragraph" w:styleId="ListBullet5">
    <w:name w:val="List Bullet 5"/>
    <w:basedOn w:val="ListBullet4"/>
    <w:semiHidden/>
    <w:rsid w:val="00FD0EFC"/>
    <w:pPr>
      <w:ind w:left="1702"/>
    </w:pPr>
  </w:style>
  <w:style w:type="paragraph" w:customStyle="1" w:styleId="B1">
    <w:name w:val="B1"/>
    <w:basedOn w:val="List"/>
    <w:rsid w:val="00FD0EFC"/>
  </w:style>
  <w:style w:type="paragraph" w:customStyle="1" w:styleId="B2">
    <w:name w:val="B2"/>
    <w:basedOn w:val="List2"/>
    <w:rsid w:val="00FD0EFC"/>
  </w:style>
  <w:style w:type="paragraph" w:customStyle="1" w:styleId="B3">
    <w:name w:val="B3"/>
    <w:basedOn w:val="List3"/>
    <w:rsid w:val="00FD0EFC"/>
  </w:style>
  <w:style w:type="paragraph" w:customStyle="1" w:styleId="B4">
    <w:name w:val="B4"/>
    <w:basedOn w:val="List4"/>
    <w:rsid w:val="00FD0EFC"/>
  </w:style>
  <w:style w:type="paragraph" w:customStyle="1" w:styleId="B5">
    <w:name w:val="B5"/>
    <w:basedOn w:val="List5"/>
    <w:rsid w:val="00FD0EFC"/>
  </w:style>
  <w:style w:type="paragraph" w:styleId="Footer">
    <w:name w:val="footer"/>
    <w:basedOn w:val="Header"/>
    <w:semiHidden/>
    <w:rsid w:val="00FD0EFC"/>
    <w:pPr>
      <w:jc w:val="center"/>
    </w:pPr>
    <w:rPr>
      <w:i/>
    </w:rPr>
  </w:style>
  <w:style w:type="paragraph" w:customStyle="1" w:styleId="ZTD">
    <w:name w:val="ZTD"/>
    <w:basedOn w:val="ZB"/>
    <w:rsid w:val="00FD0EFC"/>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table" w:styleId="TableGrid">
    <w:name w:val="Table Grid"/>
    <w:basedOn w:val="TableNormal"/>
    <w:uiPriority w:val="59"/>
    <w:rsid w:val="001942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197279360">
      <w:bodyDiv w:val="1"/>
      <w:marLeft w:val="0"/>
      <w:marRight w:val="0"/>
      <w:marTop w:val="0"/>
      <w:marBottom w:val="0"/>
      <w:divBdr>
        <w:top w:val="none" w:sz="0" w:space="0" w:color="auto"/>
        <w:left w:val="none" w:sz="0" w:space="0" w:color="auto"/>
        <w:bottom w:val="none" w:sz="0" w:space="0" w:color="auto"/>
        <w:right w:val="none" w:sz="0" w:space="0" w:color="auto"/>
      </w:divBdr>
      <w:divsChild>
        <w:div w:id="1413970889">
          <w:marLeft w:val="0"/>
          <w:marRight w:val="0"/>
          <w:marTop w:val="0"/>
          <w:marBottom w:val="0"/>
          <w:divBdr>
            <w:top w:val="none" w:sz="0" w:space="0" w:color="auto"/>
            <w:left w:val="none" w:sz="0" w:space="0" w:color="auto"/>
            <w:bottom w:val="none" w:sz="0" w:space="0" w:color="auto"/>
            <w:right w:val="none" w:sz="0" w:space="0" w:color="auto"/>
          </w:divBdr>
        </w:div>
      </w:divsChild>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297299418">
      <w:bodyDiv w:val="1"/>
      <w:marLeft w:val="0"/>
      <w:marRight w:val="0"/>
      <w:marTop w:val="0"/>
      <w:marBottom w:val="0"/>
      <w:divBdr>
        <w:top w:val="none" w:sz="0" w:space="0" w:color="auto"/>
        <w:left w:val="none" w:sz="0" w:space="0" w:color="auto"/>
        <w:bottom w:val="none" w:sz="0" w:space="0" w:color="auto"/>
        <w:right w:val="none" w:sz="0" w:space="0" w:color="auto"/>
      </w:divBdr>
    </w:div>
    <w:div w:id="322860495">
      <w:bodyDiv w:val="1"/>
      <w:marLeft w:val="0"/>
      <w:marRight w:val="0"/>
      <w:marTop w:val="0"/>
      <w:marBottom w:val="0"/>
      <w:divBdr>
        <w:top w:val="none" w:sz="0" w:space="0" w:color="auto"/>
        <w:left w:val="none" w:sz="0" w:space="0" w:color="auto"/>
        <w:bottom w:val="none" w:sz="0" w:space="0" w:color="auto"/>
        <w:right w:val="none" w:sz="0" w:space="0" w:color="auto"/>
      </w:divBdr>
    </w:div>
    <w:div w:id="768475591">
      <w:bodyDiv w:val="1"/>
      <w:marLeft w:val="0"/>
      <w:marRight w:val="0"/>
      <w:marTop w:val="0"/>
      <w:marBottom w:val="0"/>
      <w:divBdr>
        <w:top w:val="none" w:sz="0" w:space="0" w:color="auto"/>
        <w:left w:val="none" w:sz="0" w:space="0" w:color="auto"/>
        <w:bottom w:val="none" w:sz="0" w:space="0" w:color="auto"/>
        <w:right w:val="none" w:sz="0" w:space="0" w:color="auto"/>
      </w:divBdr>
    </w:div>
    <w:div w:id="1407219758">
      <w:bodyDiv w:val="1"/>
      <w:marLeft w:val="0"/>
      <w:marRight w:val="0"/>
      <w:marTop w:val="0"/>
      <w:marBottom w:val="0"/>
      <w:divBdr>
        <w:top w:val="none" w:sz="0" w:space="0" w:color="auto"/>
        <w:left w:val="none" w:sz="0" w:space="0" w:color="auto"/>
        <w:bottom w:val="none" w:sz="0" w:space="0" w:color="auto"/>
        <w:right w:val="none" w:sz="0" w:space="0" w:color="auto"/>
      </w:divBdr>
    </w:div>
    <w:div w:id="1430271103">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841505612">
      <w:bodyDiv w:val="1"/>
      <w:marLeft w:val="0"/>
      <w:marRight w:val="0"/>
      <w:marTop w:val="0"/>
      <w:marBottom w:val="0"/>
      <w:divBdr>
        <w:top w:val="none" w:sz="0" w:space="0" w:color="auto"/>
        <w:left w:val="none" w:sz="0" w:space="0" w:color="auto"/>
        <w:bottom w:val="none" w:sz="0" w:space="0" w:color="auto"/>
        <w:right w:val="none" w:sz="0" w:space="0" w:color="auto"/>
      </w:divBdr>
    </w:div>
    <w:div w:id="1857769408">
      <w:bodyDiv w:val="1"/>
      <w:marLeft w:val="0"/>
      <w:marRight w:val="0"/>
      <w:marTop w:val="0"/>
      <w:marBottom w:val="0"/>
      <w:divBdr>
        <w:top w:val="none" w:sz="0" w:space="0" w:color="auto"/>
        <w:left w:val="none" w:sz="0" w:space="0" w:color="auto"/>
        <w:bottom w:val="none" w:sz="0" w:space="0" w:color="auto"/>
        <w:right w:val="none" w:sz="0" w:space="0" w:color="auto"/>
      </w:divBdr>
      <w:divsChild>
        <w:div w:id="357121064">
          <w:marLeft w:val="0"/>
          <w:marRight w:val="0"/>
          <w:marTop w:val="0"/>
          <w:marBottom w:val="0"/>
          <w:divBdr>
            <w:top w:val="none" w:sz="0" w:space="0" w:color="auto"/>
            <w:left w:val="none" w:sz="0" w:space="0" w:color="auto"/>
            <w:bottom w:val="none" w:sz="0" w:space="0" w:color="auto"/>
            <w:right w:val="none" w:sz="0" w:space="0" w:color="auto"/>
          </w:divBdr>
        </w:div>
      </w:divsChild>
    </w:div>
    <w:div w:id="1887256123">
      <w:bodyDiv w:val="1"/>
      <w:marLeft w:val="0"/>
      <w:marRight w:val="0"/>
      <w:marTop w:val="0"/>
      <w:marBottom w:val="0"/>
      <w:divBdr>
        <w:top w:val="none" w:sz="0" w:space="0" w:color="auto"/>
        <w:left w:val="none" w:sz="0" w:space="0" w:color="auto"/>
        <w:bottom w:val="none" w:sz="0" w:space="0" w:color="auto"/>
        <w:right w:val="none" w:sz="0" w:space="0" w:color="auto"/>
      </w:divBdr>
    </w:div>
    <w:div w:id="2144299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png"/><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5.emf"/><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png"/><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2.emf"/><Relationship Id="rId36" Type="http://schemas.openxmlformats.org/officeDocument/2006/relationships/image" Target="media/image30.png"/><Relationship Id="rId49" Type="http://schemas.openxmlformats.org/officeDocument/2006/relationships/image" Target="media/image43.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6.png"/><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8" Type="http://schemas.openxmlformats.org/officeDocument/2006/relationships/image" Target="media/image2.png"/><Relationship Id="rId51"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197</TotalTime>
  <Pages>9</Pages>
  <Words>993</Words>
  <Characters>5664</Characters>
  <Application>Microsoft Office Word</Application>
  <DocSecurity>0</DocSecurity>
  <Lines>47</Lines>
  <Paragraphs>13</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6644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Michael Foegelle</cp:lastModifiedBy>
  <cp:revision>8</cp:revision>
  <cp:lastPrinted>1900-01-01T06:00:00Z</cp:lastPrinted>
  <dcterms:created xsi:type="dcterms:W3CDTF">2019-02-15T16:55:00Z</dcterms:created>
  <dcterms:modified xsi:type="dcterms:W3CDTF">2019-02-15T23:37:00Z</dcterms:modified>
</cp:coreProperties>
</file>